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D11" w:rsidRPr="005147AB" w:rsidRDefault="00B72226" w:rsidP="005147AB">
      <w:pPr>
        <w:jc w:val="center"/>
        <w:rPr>
          <w:b/>
        </w:rPr>
      </w:pPr>
      <w:bookmarkStart w:id="0" w:name="_GoBack"/>
      <w:bookmarkEnd w:id="0"/>
      <w:r>
        <w:rPr>
          <w:b/>
        </w:rPr>
        <w:t>Metodología de Cuentas Nacionales Trimestrales</w:t>
      </w:r>
      <w:r w:rsidR="00133051">
        <w:rPr>
          <w:b/>
        </w:rPr>
        <w:t xml:space="preserve"> CNT</w:t>
      </w:r>
    </w:p>
    <w:p w:rsidR="00B72226" w:rsidRDefault="00B72226"/>
    <w:p w:rsidR="00B72226" w:rsidRDefault="00B72226" w:rsidP="00B72226">
      <w:pPr>
        <w:jc w:val="both"/>
        <w:rPr>
          <w:rFonts w:cs="Calibri"/>
          <w:bCs/>
          <w:lang w:val="es-ES" w:eastAsia="es-ES"/>
        </w:rPr>
      </w:pPr>
      <w:r w:rsidRPr="00B72226">
        <w:rPr>
          <w:bCs/>
          <w:iCs/>
        </w:rPr>
        <w:t xml:space="preserve">Las Cuentas Nacionales Trimestrales constituyen una síntesis coherente, consistente y confiable de toda la estadística económica de corto plazo, organizada según reglas contables internacionalmente aceptadas. </w:t>
      </w:r>
      <w:r>
        <w:rPr>
          <w:bCs/>
          <w:iCs/>
        </w:rPr>
        <w:t xml:space="preserve">Su objetivo es </w:t>
      </w:r>
      <w:r>
        <w:rPr>
          <w:rFonts w:cs="Calibri"/>
          <w:bCs/>
          <w:lang w:val="es-ES" w:eastAsia="es-ES"/>
        </w:rPr>
        <w:t>e</w:t>
      </w:r>
      <w:r w:rsidRPr="0012133D">
        <w:rPr>
          <w:rFonts w:cs="Calibri"/>
          <w:bCs/>
          <w:lang w:val="es-ES" w:eastAsia="es-ES"/>
        </w:rPr>
        <w:t>laborar, analizar y difundir las estadísticas de síntesis de resultados robustos de las modificaciones (inflexiones) de las principales variables macroeconómicas, que ocurren trimestre a trimestre en la economía ecuatoriana, en forma oportuna y con calidad, de utilidad para la planificación nacional, la generación de política pública, la toma de decisiones por parte de las autoridades y agentes económicos del país; y, para la ciudadanía en general.</w:t>
      </w:r>
    </w:p>
    <w:p w:rsidR="00B72226" w:rsidRPr="00B72226" w:rsidRDefault="00B72226" w:rsidP="00B72226">
      <w:pPr>
        <w:jc w:val="both"/>
        <w:rPr>
          <w:lang w:val="es-ES"/>
        </w:rPr>
      </w:pPr>
    </w:p>
    <w:p w:rsidR="00B72226" w:rsidRPr="00B72226" w:rsidRDefault="00133051" w:rsidP="00B72226">
      <w:pPr>
        <w:jc w:val="both"/>
        <w:rPr>
          <w:lang w:val="es-ES"/>
        </w:rPr>
      </w:pPr>
      <w:r>
        <w:t xml:space="preserve">En Ecuador las </w:t>
      </w:r>
      <w:r w:rsidR="00B72226">
        <w:t xml:space="preserve">Cuentas Nacionales Trimestrales </w:t>
      </w:r>
      <w:r>
        <w:t>para su cálculo</w:t>
      </w:r>
      <w:r w:rsidR="00B72226">
        <w:t xml:space="preserve"> se utiliza el sistema mixto que consiste en el </w:t>
      </w:r>
      <w:r w:rsidR="00B72226" w:rsidRPr="00B72226">
        <w:rPr>
          <w:iCs/>
          <w:lang w:val="es-ES"/>
        </w:rPr>
        <w:t>uso intensivo de indicadores de corto plazo y utilización de procedimientos matemático–estadísticos</w:t>
      </w:r>
      <w:r w:rsidR="00B72226">
        <w:rPr>
          <w:iCs/>
          <w:lang w:val="es-ES"/>
        </w:rPr>
        <w:t>;</w:t>
      </w:r>
      <w:r w:rsidR="00B72226" w:rsidRPr="00B72226">
        <w:rPr>
          <w:lang w:val="es-ES"/>
        </w:rPr>
        <w:t xml:space="preserve"> </w:t>
      </w:r>
      <w:r w:rsidR="00B72226">
        <w:rPr>
          <w:lang w:val="es-ES"/>
        </w:rPr>
        <w:t>s</w:t>
      </w:r>
      <w:r w:rsidR="00B72226">
        <w:t>u elaboració</w:t>
      </w:r>
      <w:r w:rsidR="00B72226" w:rsidRPr="00B72226">
        <w:t>n</w:t>
      </w:r>
      <w:r w:rsidR="00B72226">
        <w:t xml:space="preserve"> es </w:t>
      </w:r>
      <w:r w:rsidR="00B72226" w:rsidRPr="00B72226">
        <w:t>similar al de las C</w:t>
      </w:r>
      <w:r w:rsidR="00B72226">
        <w:t xml:space="preserve">uentas </w:t>
      </w:r>
      <w:r w:rsidR="00B72226" w:rsidRPr="00B72226">
        <w:t>N</w:t>
      </w:r>
      <w:r w:rsidR="00B72226">
        <w:t>acionales Anuales;</w:t>
      </w:r>
      <w:r w:rsidR="00B72226" w:rsidRPr="00B72226">
        <w:t xml:space="preserve">  </w:t>
      </w:r>
      <w:r w:rsidR="00B72226">
        <w:t xml:space="preserve">con un </w:t>
      </w:r>
      <w:r w:rsidR="00B72226" w:rsidRPr="00B72226">
        <w:t>ampli</w:t>
      </w:r>
      <w:r w:rsidR="00B72226">
        <w:t>o</w:t>
      </w:r>
      <w:r w:rsidR="00B72226" w:rsidRPr="00B72226">
        <w:t xml:space="preserve"> inventario y oportunidad de la </w:t>
      </w:r>
      <w:r w:rsidR="00B72226">
        <w:t>información estadística de base, y, finalmente sus c</w:t>
      </w:r>
      <w:r w:rsidR="00B72226" w:rsidRPr="00B72226">
        <w:t>álculos son consistentes con la estructura contable del S</w:t>
      </w:r>
      <w:r w:rsidR="00B72226">
        <w:t xml:space="preserve">istema de </w:t>
      </w:r>
      <w:r w:rsidR="00B72226" w:rsidRPr="00B72226">
        <w:t>C</w:t>
      </w:r>
      <w:r w:rsidR="00B72226">
        <w:t xml:space="preserve">uentas </w:t>
      </w:r>
      <w:r w:rsidR="00B72226" w:rsidRPr="00B72226">
        <w:t>N</w:t>
      </w:r>
      <w:r w:rsidR="00B72226">
        <w:t>acionales SCN 2008.</w:t>
      </w:r>
      <w:r w:rsidR="00B72226" w:rsidRPr="00B72226">
        <w:rPr>
          <w:lang w:val="es-ES"/>
        </w:rPr>
        <w:t xml:space="preserve"> </w:t>
      </w:r>
    </w:p>
    <w:p w:rsidR="00B72226" w:rsidRDefault="00B72226"/>
    <w:p w:rsidR="00133051" w:rsidRDefault="00133051">
      <w:r>
        <w:t>Las etapas de elaboración de las CNT son las siguientes:</w:t>
      </w:r>
    </w:p>
    <w:p w:rsidR="00133051" w:rsidRDefault="00133051"/>
    <w:p w:rsidR="00133051" w:rsidRDefault="00133051" w:rsidP="00133051">
      <w:pPr>
        <w:pStyle w:val="Prrafodelista"/>
        <w:numPr>
          <w:ilvl w:val="0"/>
          <w:numId w:val="3"/>
        </w:numPr>
        <w:jc w:val="both"/>
        <w:rPr>
          <w:rFonts w:asciiTheme="minorHAnsi" w:hAnsiTheme="minorHAnsi" w:cstheme="minorHAnsi"/>
        </w:rPr>
      </w:pPr>
      <w:r w:rsidRPr="00133051">
        <w:rPr>
          <w:rFonts w:asciiTheme="minorHAnsi" w:hAnsiTheme="minorHAnsi" w:cstheme="minorHAnsi"/>
          <w:b/>
        </w:rPr>
        <w:t>Etapa 1.-</w:t>
      </w:r>
      <w:r>
        <w:rPr>
          <w:rFonts w:asciiTheme="minorHAnsi" w:hAnsiTheme="minorHAnsi" w:cstheme="minorHAnsi"/>
        </w:rPr>
        <w:t xml:space="preserve"> Procesos Básicos: </w:t>
      </w:r>
      <w:r w:rsidRPr="00133051">
        <w:rPr>
          <w:rFonts w:asciiTheme="minorHAnsi" w:hAnsiTheme="minorHAnsi" w:cstheme="minorHAnsi"/>
        </w:rPr>
        <w:t xml:space="preserve">Definición de metodologías, clasificaciones, selección de información, construcción y administración de indicadores (series de tiempo) de corto plazo y vectores de cuentas nacionales anuales. </w:t>
      </w:r>
    </w:p>
    <w:p w:rsidR="00133051" w:rsidRPr="00133051" w:rsidRDefault="00133051" w:rsidP="00133051">
      <w:pPr>
        <w:pStyle w:val="Prrafodelista"/>
        <w:numPr>
          <w:ilvl w:val="0"/>
          <w:numId w:val="3"/>
        </w:numPr>
        <w:jc w:val="both"/>
        <w:rPr>
          <w:rFonts w:asciiTheme="minorHAnsi" w:hAnsiTheme="minorHAnsi" w:cstheme="minorHAnsi"/>
        </w:rPr>
      </w:pPr>
      <w:r w:rsidRPr="00133051">
        <w:rPr>
          <w:rFonts w:asciiTheme="minorHAnsi" w:hAnsiTheme="minorHAnsi" w:cstheme="minorHAnsi"/>
          <w:b/>
        </w:rPr>
        <w:t>Etapa 2.-</w:t>
      </w:r>
      <w:r>
        <w:rPr>
          <w:rFonts w:asciiTheme="minorHAnsi" w:hAnsiTheme="minorHAnsi" w:cstheme="minorHAnsi"/>
        </w:rPr>
        <w:t xml:space="preserve"> Estimaciones trimestrales preliminares: </w:t>
      </w:r>
      <w:r w:rsidRPr="00133051">
        <w:rPr>
          <w:rFonts w:asciiTheme="minorHAnsi" w:hAnsiTheme="minorHAnsi" w:cstheme="minorHAnsi"/>
        </w:rPr>
        <w:t xml:space="preserve">Cálculos trimestrales (por Industrias y productos), mediante modelos estadísticos matemáticos (econométricos). </w:t>
      </w:r>
    </w:p>
    <w:p w:rsidR="00133051" w:rsidRPr="00133051" w:rsidRDefault="00133051" w:rsidP="00133051">
      <w:pPr>
        <w:pStyle w:val="Prrafodelista"/>
        <w:numPr>
          <w:ilvl w:val="0"/>
          <w:numId w:val="3"/>
        </w:numPr>
        <w:jc w:val="both"/>
        <w:rPr>
          <w:rFonts w:asciiTheme="minorHAnsi" w:hAnsiTheme="minorHAnsi" w:cstheme="minorHAnsi"/>
        </w:rPr>
      </w:pPr>
      <w:r w:rsidRPr="00133051">
        <w:rPr>
          <w:rFonts w:asciiTheme="minorHAnsi" w:hAnsiTheme="minorHAnsi" w:cstheme="minorHAnsi"/>
          <w:b/>
        </w:rPr>
        <w:t>Etapa 3.-</w:t>
      </w:r>
      <w:r>
        <w:rPr>
          <w:rFonts w:asciiTheme="minorHAnsi" w:hAnsiTheme="minorHAnsi" w:cstheme="minorHAnsi"/>
        </w:rPr>
        <w:t xml:space="preserve"> Síntesis de consistencia trimestral: </w:t>
      </w:r>
      <w:r w:rsidRPr="00133051">
        <w:rPr>
          <w:rFonts w:asciiTheme="minorHAnsi" w:hAnsiTheme="minorHAnsi" w:cstheme="minorHAnsi"/>
        </w:rPr>
        <w:t xml:space="preserve">Elaboración de la Consistencia Macroeconómica Trimestral (CMT), obtención de igualdades contables y Tablas Oferta – Utilización, PIB trimestral. </w:t>
      </w:r>
    </w:p>
    <w:p w:rsidR="00133051" w:rsidRDefault="00133051" w:rsidP="005147AB"/>
    <w:p w:rsidR="00133051" w:rsidRDefault="00133051">
      <w:r>
        <w:t>En la etapa 1 se realizan los procesos básicos relacionados a las siguientes tareas:</w:t>
      </w:r>
    </w:p>
    <w:p w:rsidR="00133051" w:rsidRDefault="00133051"/>
    <w:p w:rsidR="00133051" w:rsidRPr="00133051" w:rsidRDefault="00133051" w:rsidP="00133051">
      <w:pPr>
        <w:numPr>
          <w:ilvl w:val="1"/>
          <w:numId w:val="6"/>
        </w:numPr>
        <w:rPr>
          <w:lang w:val="es-ES"/>
        </w:rPr>
      </w:pPr>
      <w:r w:rsidRPr="00133051">
        <w:rPr>
          <w:b/>
          <w:bCs/>
          <w:i/>
          <w:iCs/>
        </w:rPr>
        <w:t>Información de corto plazo</w:t>
      </w:r>
      <w:r w:rsidRPr="00133051">
        <w:rPr>
          <w:b/>
          <w:bCs/>
          <w:lang w:val="es-ES"/>
        </w:rPr>
        <w:t>:</w:t>
      </w:r>
      <w:r w:rsidRPr="00133051">
        <w:rPr>
          <w:lang w:val="es-ES"/>
        </w:rPr>
        <w:t xml:space="preserve"> elaboración y mantenimiento del </w:t>
      </w:r>
      <w:r w:rsidRPr="00133051">
        <w:t>inventario de estadística de base</w:t>
      </w:r>
      <w:r w:rsidRPr="00133051">
        <w:rPr>
          <w:lang w:val="es-ES"/>
        </w:rPr>
        <w:t xml:space="preserve"> (mensual, trimestral, etc.) de volúmenes físicos (cantidades, índices), índices de precio, tarifas, valores monetarios, etc. de diferentes fuentes.</w:t>
      </w:r>
    </w:p>
    <w:p w:rsidR="00133051" w:rsidRPr="00133051" w:rsidRDefault="00133051" w:rsidP="00133051">
      <w:pPr>
        <w:numPr>
          <w:ilvl w:val="1"/>
          <w:numId w:val="6"/>
        </w:numPr>
        <w:rPr>
          <w:lang w:val="es-ES"/>
        </w:rPr>
      </w:pPr>
      <w:r w:rsidRPr="00133051">
        <w:rPr>
          <w:b/>
          <w:bCs/>
          <w:i/>
          <w:iCs/>
          <w:lang w:val="es-ES"/>
        </w:rPr>
        <w:t>Construcción de indicadores:</w:t>
      </w:r>
      <w:r w:rsidRPr="00133051">
        <w:rPr>
          <w:i/>
          <w:iCs/>
          <w:lang w:val="es-ES"/>
        </w:rPr>
        <w:t xml:space="preserve"> </w:t>
      </w:r>
      <w:r w:rsidRPr="00133051">
        <w:rPr>
          <w:lang w:val="es-ES"/>
        </w:rPr>
        <w:t>siguiendo los conceptos, definiciones contables y variables del Sistema de Cuentas Nacionales.</w:t>
      </w:r>
    </w:p>
    <w:p w:rsidR="00133051" w:rsidRPr="00133051" w:rsidRDefault="00133051" w:rsidP="00133051">
      <w:pPr>
        <w:numPr>
          <w:ilvl w:val="1"/>
          <w:numId w:val="6"/>
        </w:numPr>
        <w:rPr>
          <w:lang w:val="es-ES"/>
        </w:rPr>
      </w:pPr>
      <w:r w:rsidRPr="00133051">
        <w:rPr>
          <w:b/>
          <w:bCs/>
          <w:i/>
          <w:iCs/>
          <w:lang w:val="es-ES"/>
        </w:rPr>
        <w:t xml:space="preserve">Establecimiento de Clasificaciones </w:t>
      </w:r>
      <w:r w:rsidRPr="00133051">
        <w:t>de Producción (industrias y productos), Exportaciones, Importaciones, Consumo Intermedio, FBKF, Consumo Final de Hogares y Gobierno, Valor Agregado, etc., la misma que se utiliza para la elaboración de las cuentas trimestrales, tanto en precios constantes como precios corrientes.</w:t>
      </w:r>
    </w:p>
    <w:p w:rsidR="00133051" w:rsidRPr="00133051" w:rsidRDefault="00133051" w:rsidP="00133051">
      <w:pPr>
        <w:numPr>
          <w:ilvl w:val="1"/>
          <w:numId w:val="6"/>
        </w:numPr>
        <w:rPr>
          <w:lang w:val="es-ES"/>
        </w:rPr>
      </w:pPr>
      <w:r w:rsidRPr="00133051">
        <w:rPr>
          <w:b/>
          <w:bCs/>
          <w:i/>
          <w:iCs/>
          <w:lang w:val="es-ES"/>
        </w:rPr>
        <w:t>Análisis de series de tiempo  y corrección de variación estacional, CVE</w:t>
      </w:r>
      <w:r w:rsidRPr="00133051">
        <w:rPr>
          <w:i/>
          <w:iCs/>
          <w:lang w:val="es-ES"/>
        </w:rPr>
        <w:t>.</w:t>
      </w:r>
      <w:r w:rsidRPr="00133051">
        <w:t xml:space="preserve"> </w:t>
      </w:r>
    </w:p>
    <w:p w:rsidR="00B72226" w:rsidRDefault="00133051">
      <w:r>
        <w:lastRenderedPageBreak/>
        <w:t xml:space="preserve"> </w:t>
      </w:r>
    </w:p>
    <w:p w:rsidR="00D52D11" w:rsidRDefault="00D52D11"/>
    <w:p w:rsidR="00133051" w:rsidRDefault="00133051" w:rsidP="00133051">
      <w:pPr>
        <w:jc w:val="both"/>
        <w:rPr>
          <w:bCs/>
          <w:lang w:val="es-ES"/>
        </w:rPr>
      </w:pPr>
      <w:r w:rsidRPr="00133051">
        <w:rPr>
          <w:b/>
          <w:bCs/>
        </w:rPr>
        <w:t xml:space="preserve">¿Qué es la estacionalidad en el corto plazo? </w:t>
      </w:r>
      <w:r w:rsidRPr="00133051">
        <w:rPr>
          <w:lang w:val="es-ES"/>
        </w:rPr>
        <w:t xml:space="preserve">Se describe como el </w:t>
      </w:r>
      <w:r w:rsidRPr="00133051">
        <w:rPr>
          <w:bCs/>
          <w:lang w:val="es-ES"/>
        </w:rPr>
        <w:t>componente observable y consistente, en una forma relativamente persistente y repetida con determinada frecuencia, de una serie de tiempo.</w:t>
      </w:r>
    </w:p>
    <w:p w:rsidR="00345698" w:rsidRPr="00133051" w:rsidRDefault="00345698" w:rsidP="00133051">
      <w:pPr>
        <w:jc w:val="both"/>
        <w:rPr>
          <w:lang w:val="es-ES"/>
        </w:rPr>
      </w:pPr>
    </w:p>
    <w:p w:rsidR="00133051" w:rsidRDefault="00133051" w:rsidP="00133051">
      <w:pPr>
        <w:jc w:val="both"/>
        <w:rPr>
          <w:lang w:val="es-ES"/>
        </w:rPr>
      </w:pPr>
      <w:r w:rsidRPr="00133051">
        <w:rPr>
          <w:b/>
          <w:bCs/>
          <w:lang w:val="es-ES"/>
        </w:rPr>
        <w:t xml:space="preserve">La Corrección de Variación (ajuste) Estacional (CVE) </w:t>
      </w:r>
      <w:r w:rsidRPr="00133051">
        <w:rPr>
          <w:lang w:val="es-ES"/>
        </w:rPr>
        <w:t xml:space="preserve">permite </w:t>
      </w:r>
      <w:r w:rsidRPr="00133051">
        <w:rPr>
          <w:b/>
          <w:bCs/>
          <w:u w:val="single"/>
          <w:lang w:val="es-ES"/>
        </w:rPr>
        <w:t>eliminar</w:t>
      </w:r>
      <w:r w:rsidRPr="00133051">
        <w:rPr>
          <w:lang w:val="es-ES"/>
        </w:rPr>
        <w:t xml:space="preserve"> esos comportamientos repetidos que no tienen que ver con el verdadero movimiento de la actividad económica.</w:t>
      </w:r>
    </w:p>
    <w:p w:rsidR="00133051" w:rsidRDefault="00133051" w:rsidP="00133051">
      <w:pPr>
        <w:jc w:val="both"/>
        <w:rPr>
          <w:lang w:val="es-ES"/>
        </w:rPr>
      </w:pPr>
    </w:p>
    <w:p w:rsidR="00133051" w:rsidRDefault="00133051" w:rsidP="00133051">
      <w:pPr>
        <w:jc w:val="both"/>
        <w:rPr>
          <w:lang w:val="es-ES"/>
        </w:rPr>
      </w:pPr>
      <w:r>
        <w:rPr>
          <w:lang w:val="es-ES"/>
        </w:rPr>
        <w:t xml:space="preserve">Dentro de la etapa 2 se realizan las elaboraciones trimestrales preliminares relacionadas con: </w:t>
      </w:r>
    </w:p>
    <w:p w:rsidR="00345698" w:rsidRDefault="00345698" w:rsidP="00133051">
      <w:pPr>
        <w:jc w:val="both"/>
        <w:rPr>
          <w:lang w:val="es-ES"/>
        </w:rPr>
      </w:pPr>
    </w:p>
    <w:p w:rsidR="00345698" w:rsidRPr="00345698" w:rsidRDefault="00345698" w:rsidP="00345698">
      <w:pPr>
        <w:numPr>
          <w:ilvl w:val="0"/>
          <w:numId w:val="7"/>
        </w:numPr>
        <w:jc w:val="both"/>
        <w:rPr>
          <w:lang w:val="es-ES"/>
        </w:rPr>
      </w:pPr>
      <w:r w:rsidRPr="00345698">
        <w:rPr>
          <w:b/>
          <w:bCs/>
        </w:rPr>
        <w:t>Modelización econométrica (principales hipótesis):</w:t>
      </w:r>
    </w:p>
    <w:p w:rsidR="00345698" w:rsidRPr="00345698" w:rsidRDefault="00345698" w:rsidP="00345698">
      <w:pPr>
        <w:jc w:val="both"/>
        <w:rPr>
          <w:lang w:val="es-ES"/>
        </w:rPr>
      </w:pPr>
      <w:r w:rsidRPr="00345698">
        <w:rPr>
          <w:b/>
          <w:bCs/>
        </w:rPr>
        <w:t xml:space="preserve"> </w:t>
      </w:r>
    </w:p>
    <w:p w:rsidR="00345698" w:rsidRPr="00345698" w:rsidRDefault="00345698" w:rsidP="00345698">
      <w:pPr>
        <w:numPr>
          <w:ilvl w:val="1"/>
          <w:numId w:val="8"/>
        </w:numPr>
        <w:jc w:val="both"/>
        <w:rPr>
          <w:lang w:val="es-ES"/>
        </w:rPr>
      </w:pPr>
      <w:r w:rsidRPr="00345698">
        <w:t xml:space="preserve"> </w:t>
      </w:r>
      <w:r w:rsidRPr="00345698">
        <w:rPr>
          <w:b/>
          <w:bCs/>
        </w:rPr>
        <w:t>6 modelos lineales</w:t>
      </w:r>
      <w:r w:rsidRPr="00345698">
        <w:t xml:space="preserve">. El indicador trimestral anualizado explica la cuenta anual </w:t>
      </w:r>
    </w:p>
    <w:p w:rsidR="00345698" w:rsidRPr="00345698" w:rsidRDefault="00345698" w:rsidP="00345698">
      <w:pPr>
        <w:numPr>
          <w:ilvl w:val="1"/>
          <w:numId w:val="8"/>
        </w:numPr>
        <w:jc w:val="both"/>
        <w:rPr>
          <w:lang w:val="es-ES"/>
        </w:rPr>
      </w:pPr>
      <w:r w:rsidRPr="00345698">
        <w:t xml:space="preserve"> Certeza que el </w:t>
      </w:r>
      <w:r w:rsidRPr="00345698">
        <w:rPr>
          <w:b/>
          <w:bCs/>
        </w:rPr>
        <w:t xml:space="preserve">error anual = ruido blanco </w:t>
      </w:r>
    </w:p>
    <w:p w:rsidR="00345698" w:rsidRPr="00345698" w:rsidRDefault="00345698" w:rsidP="00345698">
      <w:pPr>
        <w:numPr>
          <w:ilvl w:val="1"/>
          <w:numId w:val="8"/>
        </w:numPr>
        <w:jc w:val="both"/>
        <w:rPr>
          <w:lang w:val="es-ES"/>
        </w:rPr>
      </w:pPr>
      <w:r w:rsidRPr="00345698">
        <w:t xml:space="preserve"> relación de </w:t>
      </w:r>
      <w:r w:rsidRPr="00345698">
        <w:rPr>
          <w:b/>
          <w:bCs/>
        </w:rPr>
        <w:t>causalidad anual</w:t>
      </w:r>
      <w:r w:rsidRPr="00345698">
        <w:t xml:space="preserve"> </w:t>
      </w:r>
      <w:r w:rsidRPr="00345698">
        <w:rPr>
          <w:b/>
          <w:bCs/>
        </w:rPr>
        <w:t>se mantiene trimestralmente</w:t>
      </w:r>
    </w:p>
    <w:p w:rsidR="00345698" w:rsidRPr="00345698" w:rsidRDefault="00345698" w:rsidP="00345698">
      <w:pPr>
        <w:ind w:left="1440"/>
        <w:jc w:val="both"/>
        <w:rPr>
          <w:lang w:val="es-ES"/>
        </w:rPr>
      </w:pPr>
    </w:p>
    <w:p w:rsidR="00345698" w:rsidRDefault="00345698" w:rsidP="00345698">
      <w:pPr>
        <w:numPr>
          <w:ilvl w:val="0"/>
          <w:numId w:val="9"/>
        </w:numPr>
        <w:jc w:val="both"/>
        <w:rPr>
          <w:lang w:val="es-ES"/>
        </w:rPr>
      </w:pPr>
      <w:r w:rsidRPr="00345698">
        <w:rPr>
          <w:lang w:val="es-ES"/>
        </w:rPr>
        <w:t xml:space="preserve">Los </w:t>
      </w:r>
      <w:proofErr w:type="spellStart"/>
      <w:r w:rsidRPr="00345698">
        <w:rPr>
          <w:lang w:val="es-ES"/>
        </w:rPr>
        <w:t>regresores</w:t>
      </w:r>
      <w:proofErr w:type="spellEnd"/>
      <w:r w:rsidRPr="00345698">
        <w:rPr>
          <w:lang w:val="es-ES"/>
        </w:rPr>
        <w:t xml:space="preserve"> anuales de la </w:t>
      </w:r>
      <w:r w:rsidRPr="00345698">
        <w:rPr>
          <w:b/>
          <w:bCs/>
          <w:i/>
          <w:iCs/>
          <w:lang w:val="es-ES"/>
        </w:rPr>
        <w:t>modelización econométrica</w:t>
      </w:r>
      <w:r w:rsidRPr="00345698">
        <w:rPr>
          <w:lang w:val="es-ES"/>
        </w:rPr>
        <w:t xml:space="preserve"> se aplican a los indicadores trimestrales y se obtiene la estimación preliminar de la cuenta trimestral.</w:t>
      </w:r>
    </w:p>
    <w:p w:rsidR="00345698" w:rsidRPr="00345698" w:rsidRDefault="00345698" w:rsidP="00345698">
      <w:pPr>
        <w:ind w:left="720"/>
        <w:jc w:val="both"/>
        <w:rPr>
          <w:lang w:val="es-ES"/>
        </w:rPr>
      </w:pPr>
      <w:r w:rsidRPr="00345698">
        <w:rPr>
          <w:lang w:val="es-ES"/>
        </w:rPr>
        <w:t xml:space="preserve"> </w:t>
      </w:r>
    </w:p>
    <w:p w:rsidR="00345698" w:rsidRDefault="00345698" w:rsidP="00345698">
      <w:pPr>
        <w:numPr>
          <w:ilvl w:val="0"/>
          <w:numId w:val="9"/>
        </w:numPr>
        <w:jc w:val="both"/>
        <w:rPr>
          <w:lang w:val="es-ES"/>
        </w:rPr>
      </w:pPr>
      <w:r w:rsidRPr="00345698">
        <w:rPr>
          <w:b/>
          <w:bCs/>
        </w:rPr>
        <w:t>Interpolación (distribución) trimestral de errores anuales</w:t>
      </w:r>
      <w:r w:rsidRPr="00345698">
        <w:t xml:space="preserve"> de la regresión anual mediante </w:t>
      </w:r>
      <w:r w:rsidRPr="00345698">
        <w:rPr>
          <w:b/>
          <w:bCs/>
        </w:rPr>
        <w:t xml:space="preserve">multiplicadores de </w:t>
      </w:r>
      <w:proofErr w:type="spellStart"/>
      <w:r w:rsidRPr="00345698">
        <w:rPr>
          <w:b/>
          <w:bCs/>
        </w:rPr>
        <w:t>Lagrange</w:t>
      </w:r>
      <w:proofErr w:type="spellEnd"/>
      <w:r w:rsidRPr="00345698">
        <w:rPr>
          <w:b/>
          <w:bCs/>
        </w:rPr>
        <w:t xml:space="preserve"> del Método Denton</w:t>
      </w:r>
      <w:r w:rsidRPr="00345698">
        <w:t>,</w:t>
      </w:r>
      <w:r w:rsidRPr="00345698">
        <w:rPr>
          <w:lang w:val="es-ES"/>
        </w:rPr>
        <w:t xml:space="preserve"> se verifica que en este proceso no se introduzcan alteraciones en la evolución preliminar de la cuenta trimestral, es decir que la estimación original no se vea afectada por la distribución del residuo anual.</w:t>
      </w:r>
    </w:p>
    <w:p w:rsidR="00345698" w:rsidRPr="00345698" w:rsidRDefault="00345698" w:rsidP="00345698">
      <w:pPr>
        <w:jc w:val="both"/>
        <w:rPr>
          <w:lang w:val="es-ES"/>
        </w:rPr>
      </w:pPr>
    </w:p>
    <w:p w:rsidR="00133051" w:rsidRDefault="00345698" w:rsidP="00345698">
      <w:pPr>
        <w:numPr>
          <w:ilvl w:val="0"/>
          <w:numId w:val="9"/>
        </w:numPr>
        <w:jc w:val="both"/>
        <w:rPr>
          <w:lang w:val="es-ES"/>
        </w:rPr>
      </w:pPr>
      <w:r w:rsidRPr="00345698">
        <w:t xml:space="preserve">La suma de las </w:t>
      </w:r>
      <w:r w:rsidRPr="00345698">
        <w:rPr>
          <w:b/>
          <w:bCs/>
          <w:u w:val="single"/>
        </w:rPr>
        <w:t>Cuentas Nacionales Trimestrales es igual a las CN anuales</w:t>
      </w:r>
      <w:r w:rsidRPr="00345698">
        <w:rPr>
          <w:u w:val="single"/>
        </w:rPr>
        <w:t xml:space="preserve"> </w:t>
      </w:r>
      <w:r w:rsidRPr="00345698">
        <w:t>(en volumen y en valor).</w:t>
      </w:r>
      <w:r>
        <w:rPr>
          <w:lang w:val="es-ES"/>
        </w:rPr>
        <w:t xml:space="preserve"> </w:t>
      </w:r>
      <w:r w:rsidRPr="00345698">
        <w:t>Cu</w:t>
      </w:r>
      <w:r w:rsidRPr="00345698">
        <w:rPr>
          <w:lang w:val="es-ES"/>
        </w:rPr>
        <w:t>ando no se dispone de indicadores específicos se aplican relaciones contables, teóricas, legales y cualitativas anuales del agregado a estimar, calculados previamente.</w:t>
      </w:r>
    </w:p>
    <w:p w:rsidR="00345698" w:rsidRDefault="00345698" w:rsidP="00345698">
      <w:pPr>
        <w:pStyle w:val="Prrafodelista"/>
      </w:pPr>
    </w:p>
    <w:p w:rsidR="00345698" w:rsidRPr="00345698" w:rsidRDefault="00345698" w:rsidP="00345698">
      <w:pPr>
        <w:numPr>
          <w:ilvl w:val="0"/>
          <w:numId w:val="9"/>
        </w:numPr>
        <w:jc w:val="both"/>
      </w:pPr>
      <w:r>
        <w:rPr>
          <w:lang w:val="es-ES"/>
        </w:rPr>
        <w:t>Balances por producto.</w:t>
      </w:r>
    </w:p>
    <w:p w:rsidR="00345698" w:rsidRDefault="00345698" w:rsidP="00345698">
      <w:pPr>
        <w:pStyle w:val="Prrafodelista"/>
      </w:pPr>
    </w:p>
    <w:p w:rsidR="00345698" w:rsidRPr="00345698" w:rsidRDefault="00345698" w:rsidP="00345698">
      <w:pPr>
        <w:numPr>
          <w:ilvl w:val="0"/>
          <w:numId w:val="9"/>
        </w:numPr>
        <w:jc w:val="both"/>
      </w:pPr>
      <w:r>
        <w:t xml:space="preserve">Cálculo del Valor Agregado Bruto VAB por Industria, verificación de las igualdades contables es decir PIB Gasto = PIB Producción, </w:t>
      </w:r>
    </w:p>
    <w:p w:rsidR="00133051" w:rsidRDefault="00133051" w:rsidP="00133051">
      <w:pPr>
        <w:jc w:val="both"/>
        <w:rPr>
          <w:lang w:val="es-ES"/>
        </w:rPr>
      </w:pPr>
    </w:p>
    <w:p w:rsidR="00345698" w:rsidRDefault="005147AB" w:rsidP="00133051">
      <w:pPr>
        <w:jc w:val="both"/>
        <w:rPr>
          <w:lang w:val="es-ES"/>
        </w:rPr>
      </w:pPr>
      <w:r>
        <w:rPr>
          <w:lang w:val="es-ES"/>
        </w:rPr>
        <w:t>L</w:t>
      </w:r>
      <w:r w:rsidR="00345698">
        <w:rPr>
          <w:lang w:val="es-ES"/>
        </w:rPr>
        <w:t>a etapa 3 que es la síntesis de consistencia trimestral que se realiza a través del cálculo del PIB por el método del Gasto y de la Producción:</w:t>
      </w:r>
    </w:p>
    <w:p w:rsidR="00345698" w:rsidRDefault="00345698" w:rsidP="00133051">
      <w:pPr>
        <w:jc w:val="both"/>
        <w:rPr>
          <w:lang w:val="es-ES"/>
        </w:rPr>
      </w:pPr>
    </w:p>
    <w:p w:rsidR="00345698" w:rsidRDefault="00345698" w:rsidP="00345698">
      <w:pPr>
        <w:jc w:val="both"/>
        <w:rPr>
          <w:b/>
          <w:bCs/>
          <w:vertAlign w:val="subscript"/>
          <w:lang w:val="es-ES"/>
        </w:rPr>
      </w:pPr>
      <w:r>
        <w:rPr>
          <w:b/>
          <w:bCs/>
        </w:rPr>
        <w:t>PIB</w:t>
      </w:r>
      <w:r w:rsidRPr="00345698">
        <w:rPr>
          <w:b/>
          <w:bCs/>
        </w:rPr>
        <w:t xml:space="preserve"> óptica del gasto  </w:t>
      </w:r>
      <w:proofErr w:type="spellStart"/>
      <w:r w:rsidRPr="00345698">
        <w:rPr>
          <w:b/>
          <w:bCs/>
          <w:i/>
          <w:iCs/>
        </w:rPr>
        <w:t>PIB</w:t>
      </w:r>
      <w:r w:rsidRPr="00345698">
        <w:rPr>
          <w:vertAlign w:val="subscript"/>
        </w:rPr>
        <w:t>t</w:t>
      </w:r>
      <w:proofErr w:type="spellEnd"/>
      <w:r w:rsidRPr="00345698">
        <w:rPr>
          <w:b/>
          <w:bCs/>
          <w:i/>
          <w:iCs/>
        </w:rPr>
        <w:t>= (</w:t>
      </w:r>
      <w:proofErr w:type="spellStart"/>
      <w:r w:rsidRPr="00345698">
        <w:rPr>
          <w:b/>
          <w:bCs/>
          <w:i/>
          <w:iCs/>
        </w:rPr>
        <w:t>X</w:t>
      </w:r>
      <w:r w:rsidRPr="00345698">
        <w:rPr>
          <w:vertAlign w:val="subscript"/>
        </w:rPr>
        <w:t>t</w:t>
      </w:r>
      <w:proofErr w:type="spellEnd"/>
      <w:r w:rsidRPr="00345698">
        <w:rPr>
          <w:b/>
          <w:bCs/>
          <w:i/>
          <w:iCs/>
        </w:rPr>
        <w:t>-M</w:t>
      </w:r>
      <w:r w:rsidRPr="00345698">
        <w:rPr>
          <w:vertAlign w:val="subscript"/>
        </w:rPr>
        <w:t>t</w:t>
      </w:r>
      <w:r w:rsidRPr="00345698">
        <w:rPr>
          <w:b/>
          <w:bCs/>
          <w:i/>
          <w:iCs/>
        </w:rPr>
        <w:t>)+</w:t>
      </w:r>
      <w:proofErr w:type="spellStart"/>
      <w:r w:rsidRPr="00345698">
        <w:rPr>
          <w:b/>
          <w:bCs/>
          <w:i/>
          <w:iCs/>
        </w:rPr>
        <w:t>CH</w:t>
      </w:r>
      <w:r w:rsidRPr="00345698">
        <w:rPr>
          <w:vertAlign w:val="subscript"/>
        </w:rPr>
        <w:t>t</w:t>
      </w:r>
      <w:r w:rsidRPr="00345698">
        <w:rPr>
          <w:b/>
          <w:bCs/>
          <w:i/>
          <w:iCs/>
        </w:rPr>
        <w:t>+CG</w:t>
      </w:r>
      <w:r w:rsidRPr="00345698">
        <w:rPr>
          <w:vertAlign w:val="subscript"/>
        </w:rPr>
        <w:t>t</w:t>
      </w:r>
      <w:r w:rsidRPr="00345698">
        <w:rPr>
          <w:b/>
          <w:bCs/>
          <w:i/>
          <w:iCs/>
        </w:rPr>
        <w:t>+I</w:t>
      </w:r>
      <w:r w:rsidRPr="00345698">
        <w:rPr>
          <w:vertAlign w:val="subscript"/>
        </w:rPr>
        <w:t>t</w:t>
      </w:r>
      <w:proofErr w:type="spellEnd"/>
      <w:r w:rsidRPr="00345698">
        <w:rPr>
          <w:vertAlign w:val="subscript"/>
        </w:rPr>
        <w:t xml:space="preserve"> </w:t>
      </w:r>
      <w:r w:rsidRPr="00345698">
        <w:rPr>
          <w:b/>
          <w:bCs/>
        </w:rPr>
        <w:t>+</w:t>
      </w:r>
      <w:proofErr w:type="spellStart"/>
      <w:r w:rsidRPr="00345698">
        <w:rPr>
          <w:b/>
          <w:bCs/>
          <w:i/>
          <w:iCs/>
        </w:rPr>
        <w:t>VE</w:t>
      </w:r>
      <w:r w:rsidRPr="00345698">
        <w:rPr>
          <w:b/>
          <w:bCs/>
          <w:vertAlign w:val="subscript"/>
        </w:rPr>
        <w:t>t</w:t>
      </w:r>
      <w:proofErr w:type="spellEnd"/>
      <w:r w:rsidRPr="00345698">
        <w:rPr>
          <w:b/>
          <w:bCs/>
          <w:vertAlign w:val="subscript"/>
          <w:lang w:val="es-ES"/>
        </w:rPr>
        <w:t xml:space="preserve"> </w:t>
      </w:r>
    </w:p>
    <w:p w:rsidR="00345698" w:rsidRPr="00345698" w:rsidRDefault="00345698" w:rsidP="00345698">
      <w:pPr>
        <w:jc w:val="both"/>
        <w:rPr>
          <w:lang w:val="es-ES"/>
        </w:rPr>
      </w:pPr>
    </w:p>
    <w:p w:rsidR="00345698" w:rsidRPr="00345698" w:rsidRDefault="00345698" w:rsidP="00345698">
      <w:pPr>
        <w:numPr>
          <w:ilvl w:val="2"/>
          <w:numId w:val="10"/>
        </w:numPr>
        <w:jc w:val="both"/>
        <w:rPr>
          <w:lang w:val="es-ES"/>
        </w:rPr>
      </w:pPr>
      <w:r w:rsidRPr="00345698">
        <w:t>Exportaciones</w:t>
      </w:r>
    </w:p>
    <w:p w:rsidR="00345698" w:rsidRPr="00345698" w:rsidRDefault="00345698" w:rsidP="00345698">
      <w:pPr>
        <w:numPr>
          <w:ilvl w:val="2"/>
          <w:numId w:val="10"/>
        </w:numPr>
        <w:jc w:val="both"/>
        <w:rPr>
          <w:lang w:val="es-ES"/>
        </w:rPr>
      </w:pPr>
      <w:r w:rsidRPr="00345698">
        <w:t>Importaciones</w:t>
      </w:r>
    </w:p>
    <w:p w:rsidR="00345698" w:rsidRPr="00345698" w:rsidRDefault="00345698" w:rsidP="00345698">
      <w:pPr>
        <w:numPr>
          <w:ilvl w:val="2"/>
          <w:numId w:val="10"/>
        </w:numPr>
        <w:jc w:val="both"/>
        <w:rPr>
          <w:lang w:val="es-ES"/>
        </w:rPr>
      </w:pPr>
      <w:r w:rsidRPr="00345698">
        <w:t>Consumo de hogares</w:t>
      </w:r>
    </w:p>
    <w:p w:rsidR="00345698" w:rsidRPr="00345698" w:rsidRDefault="00345698" w:rsidP="00345698">
      <w:pPr>
        <w:numPr>
          <w:ilvl w:val="2"/>
          <w:numId w:val="10"/>
        </w:numPr>
        <w:jc w:val="both"/>
        <w:rPr>
          <w:lang w:val="es-ES"/>
        </w:rPr>
      </w:pPr>
      <w:r w:rsidRPr="00345698">
        <w:t>Gasto del Gobierno</w:t>
      </w:r>
    </w:p>
    <w:p w:rsidR="00345698" w:rsidRPr="00345698" w:rsidRDefault="00345698" w:rsidP="00345698">
      <w:pPr>
        <w:numPr>
          <w:ilvl w:val="2"/>
          <w:numId w:val="10"/>
        </w:numPr>
        <w:jc w:val="both"/>
        <w:rPr>
          <w:lang w:val="es-ES"/>
        </w:rPr>
      </w:pPr>
      <w:r w:rsidRPr="00345698">
        <w:t xml:space="preserve">FBKF (inversión) </w:t>
      </w:r>
    </w:p>
    <w:p w:rsidR="00345698" w:rsidRDefault="00345698" w:rsidP="00345698">
      <w:pPr>
        <w:jc w:val="both"/>
      </w:pPr>
    </w:p>
    <w:p w:rsidR="00345698" w:rsidRPr="00345698" w:rsidRDefault="00345698" w:rsidP="00345698">
      <w:pPr>
        <w:jc w:val="both"/>
        <w:rPr>
          <w:lang w:val="es-ES"/>
        </w:rPr>
      </w:pPr>
      <w:r>
        <w:rPr>
          <w:b/>
          <w:bCs/>
        </w:rPr>
        <w:t>PIB</w:t>
      </w:r>
      <w:r w:rsidRPr="00345698">
        <w:rPr>
          <w:b/>
          <w:bCs/>
        </w:rPr>
        <w:t xml:space="preserve"> óptica de la producción: V</w:t>
      </w:r>
      <w:r>
        <w:rPr>
          <w:b/>
          <w:bCs/>
        </w:rPr>
        <w:t xml:space="preserve">alor </w:t>
      </w:r>
      <w:r w:rsidRPr="00345698">
        <w:rPr>
          <w:b/>
          <w:bCs/>
        </w:rPr>
        <w:t>A</w:t>
      </w:r>
      <w:r>
        <w:rPr>
          <w:b/>
          <w:bCs/>
        </w:rPr>
        <w:t>gregado Bruto</w:t>
      </w:r>
      <w:r w:rsidRPr="00345698">
        <w:rPr>
          <w:b/>
          <w:bCs/>
        </w:rPr>
        <w:t xml:space="preserve"> por actividad económica (18 industrias)</w:t>
      </w:r>
      <w:r w:rsidRPr="00345698">
        <w:t xml:space="preserve"> </w:t>
      </w:r>
    </w:p>
    <w:p w:rsidR="00345698" w:rsidRPr="00345698" w:rsidRDefault="00345698" w:rsidP="00345698">
      <w:pPr>
        <w:jc w:val="both"/>
        <w:rPr>
          <w:lang w:val="es-ES"/>
        </w:rPr>
      </w:pPr>
      <w:proofErr w:type="spellStart"/>
      <w:proofErr w:type="gramStart"/>
      <w:r w:rsidRPr="00345698">
        <w:rPr>
          <w:b/>
          <w:bCs/>
          <w:i/>
          <w:iCs/>
        </w:rPr>
        <w:t>VAB</w:t>
      </w:r>
      <w:r w:rsidRPr="00345698">
        <w:rPr>
          <w:b/>
          <w:bCs/>
          <w:i/>
          <w:iCs/>
          <w:vertAlign w:val="subscript"/>
        </w:rPr>
        <w:t>i,t</w:t>
      </w:r>
      <w:proofErr w:type="spellEnd"/>
      <w:proofErr w:type="gramEnd"/>
      <w:r w:rsidRPr="00345698">
        <w:rPr>
          <w:b/>
          <w:bCs/>
          <w:i/>
          <w:iCs/>
          <w:vertAlign w:val="subscript"/>
        </w:rPr>
        <w:t xml:space="preserve"> </w:t>
      </w:r>
      <w:r w:rsidRPr="00345698">
        <w:rPr>
          <w:b/>
          <w:bCs/>
          <w:i/>
          <w:iCs/>
        </w:rPr>
        <w:t xml:space="preserve">= </w:t>
      </w:r>
      <w:proofErr w:type="spellStart"/>
      <w:r w:rsidRPr="00345698">
        <w:rPr>
          <w:b/>
          <w:bCs/>
          <w:i/>
          <w:iCs/>
        </w:rPr>
        <w:t>Pb</w:t>
      </w:r>
      <w:r w:rsidRPr="00345698">
        <w:rPr>
          <w:b/>
          <w:bCs/>
          <w:i/>
          <w:iCs/>
          <w:vertAlign w:val="subscript"/>
        </w:rPr>
        <w:t>i,t</w:t>
      </w:r>
      <w:proofErr w:type="spellEnd"/>
      <w:r w:rsidRPr="00345698">
        <w:rPr>
          <w:b/>
          <w:bCs/>
          <w:i/>
          <w:iCs/>
        </w:rPr>
        <w:t xml:space="preserve"> - </w:t>
      </w:r>
      <w:proofErr w:type="spellStart"/>
      <w:r w:rsidRPr="00345698">
        <w:rPr>
          <w:b/>
          <w:bCs/>
          <w:i/>
          <w:iCs/>
        </w:rPr>
        <w:t>CI</w:t>
      </w:r>
      <w:r w:rsidRPr="00345698">
        <w:rPr>
          <w:b/>
          <w:bCs/>
          <w:i/>
          <w:iCs/>
          <w:vertAlign w:val="subscript"/>
        </w:rPr>
        <w:t>i,t</w:t>
      </w:r>
      <w:proofErr w:type="spellEnd"/>
      <w:r w:rsidRPr="00345698">
        <w:rPr>
          <w:b/>
          <w:bCs/>
          <w:i/>
          <w:iCs/>
        </w:rPr>
        <w:t xml:space="preserve"> </w:t>
      </w:r>
    </w:p>
    <w:p w:rsidR="00345698" w:rsidRDefault="00345698" w:rsidP="00345698">
      <w:pPr>
        <w:jc w:val="both"/>
        <w:rPr>
          <w:lang w:val="es-ES"/>
        </w:rPr>
      </w:pPr>
      <w:proofErr w:type="spellStart"/>
      <w:r w:rsidRPr="00345698">
        <w:rPr>
          <w:b/>
          <w:bCs/>
          <w:i/>
          <w:iCs/>
        </w:rPr>
        <w:t>PIB</w:t>
      </w:r>
      <w:r w:rsidRPr="00345698">
        <w:rPr>
          <w:b/>
          <w:bCs/>
          <w:i/>
          <w:iCs/>
          <w:vertAlign w:val="subscript"/>
        </w:rPr>
        <w:t>t</w:t>
      </w:r>
      <w:proofErr w:type="spellEnd"/>
      <w:r w:rsidRPr="00345698">
        <w:rPr>
          <w:b/>
          <w:bCs/>
          <w:i/>
          <w:iCs/>
        </w:rPr>
        <w:t xml:space="preserve"> = </w:t>
      </w:r>
      <w:r w:rsidRPr="00345698">
        <w:rPr>
          <w:b/>
          <w:bCs/>
          <w:i/>
          <w:iCs/>
        </w:rPr>
        <w:sym w:font="Symbol" w:char="0053"/>
      </w:r>
      <w:proofErr w:type="spellStart"/>
      <w:r w:rsidRPr="00345698">
        <w:rPr>
          <w:b/>
          <w:bCs/>
          <w:i/>
          <w:iCs/>
        </w:rPr>
        <w:t>VAB</w:t>
      </w:r>
      <w:r w:rsidRPr="00345698">
        <w:rPr>
          <w:b/>
          <w:bCs/>
          <w:i/>
          <w:iCs/>
          <w:vertAlign w:val="subscript"/>
        </w:rPr>
        <w:t>i,t</w:t>
      </w:r>
      <w:r w:rsidRPr="00345698">
        <w:rPr>
          <w:b/>
          <w:bCs/>
          <w:i/>
          <w:iCs/>
        </w:rPr>
        <w:t>+Otros</w:t>
      </w:r>
      <w:proofErr w:type="spellEnd"/>
      <w:r w:rsidRPr="00345698">
        <w:rPr>
          <w:b/>
          <w:bCs/>
          <w:i/>
          <w:iCs/>
        </w:rPr>
        <w:t xml:space="preserve"> elementos del </w:t>
      </w:r>
      <w:proofErr w:type="spellStart"/>
      <w:r w:rsidRPr="00345698">
        <w:rPr>
          <w:b/>
          <w:bCs/>
          <w:i/>
          <w:iCs/>
        </w:rPr>
        <w:t>PIB</w:t>
      </w:r>
      <w:r w:rsidRPr="00345698">
        <w:rPr>
          <w:b/>
          <w:bCs/>
          <w:i/>
          <w:iCs/>
          <w:vertAlign w:val="subscript"/>
        </w:rPr>
        <w:t>t</w:t>
      </w:r>
      <w:proofErr w:type="spellEnd"/>
      <w:r w:rsidRPr="00345698">
        <w:rPr>
          <w:lang w:val="es-ES"/>
        </w:rPr>
        <w:t xml:space="preserve"> </w:t>
      </w:r>
    </w:p>
    <w:p w:rsidR="00345698" w:rsidRPr="00345698" w:rsidRDefault="00345698" w:rsidP="00345698">
      <w:pPr>
        <w:jc w:val="both"/>
        <w:rPr>
          <w:lang w:val="es-ES"/>
        </w:rPr>
      </w:pPr>
    </w:p>
    <w:p w:rsidR="00345698" w:rsidRPr="00345698" w:rsidRDefault="00345698" w:rsidP="00345698">
      <w:pPr>
        <w:numPr>
          <w:ilvl w:val="2"/>
          <w:numId w:val="12"/>
        </w:numPr>
        <w:jc w:val="both"/>
        <w:rPr>
          <w:lang w:val="es-ES"/>
        </w:rPr>
      </w:pPr>
      <w:r w:rsidRPr="00345698">
        <w:rPr>
          <w:lang w:val="es-ES"/>
        </w:rPr>
        <w:t>A.- Agricultura</w:t>
      </w:r>
    </w:p>
    <w:p w:rsidR="00345698" w:rsidRPr="00345698" w:rsidRDefault="00345698" w:rsidP="00345698">
      <w:pPr>
        <w:numPr>
          <w:ilvl w:val="2"/>
          <w:numId w:val="12"/>
        </w:numPr>
        <w:jc w:val="both"/>
        <w:rPr>
          <w:lang w:val="es-ES"/>
        </w:rPr>
      </w:pPr>
      <w:r w:rsidRPr="00345698">
        <w:rPr>
          <w:lang w:val="es-ES"/>
        </w:rPr>
        <w:t>B.- Pesca</w:t>
      </w:r>
    </w:p>
    <w:p w:rsidR="00345698" w:rsidRPr="00345698" w:rsidRDefault="00345698" w:rsidP="00345698">
      <w:pPr>
        <w:numPr>
          <w:ilvl w:val="2"/>
          <w:numId w:val="12"/>
        </w:numPr>
        <w:jc w:val="both"/>
        <w:rPr>
          <w:lang w:val="es-ES"/>
        </w:rPr>
      </w:pPr>
      <w:r w:rsidRPr="00345698">
        <w:rPr>
          <w:lang w:val="es-ES"/>
        </w:rPr>
        <w:t>C.- Explotación de minas y canteras</w:t>
      </w:r>
    </w:p>
    <w:p w:rsidR="00345698" w:rsidRPr="00345698" w:rsidRDefault="00345698" w:rsidP="00345698">
      <w:pPr>
        <w:numPr>
          <w:ilvl w:val="2"/>
          <w:numId w:val="12"/>
        </w:numPr>
        <w:jc w:val="both"/>
        <w:rPr>
          <w:lang w:val="es-ES"/>
        </w:rPr>
      </w:pPr>
      <w:r w:rsidRPr="00345698">
        <w:rPr>
          <w:lang w:val="es-ES"/>
        </w:rPr>
        <w:t>D.- Industria Manufacturera (Excluye refinación de petróleo)</w:t>
      </w:r>
    </w:p>
    <w:p w:rsidR="00345698" w:rsidRPr="00345698" w:rsidRDefault="00345698" w:rsidP="00345698">
      <w:pPr>
        <w:numPr>
          <w:ilvl w:val="2"/>
          <w:numId w:val="12"/>
        </w:numPr>
        <w:jc w:val="both"/>
        <w:rPr>
          <w:lang w:val="es-ES"/>
        </w:rPr>
      </w:pPr>
      <w:r w:rsidRPr="00345698">
        <w:rPr>
          <w:lang w:val="es-ES"/>
        </w:rPr>
        <w:t xml:space="preserve">   Fabricación de productos de la refinación de petróleo</w:t>
      </w:r>
    </w:p>
    <w:p w:rsidR="00345698" w:rsidRPr="00345698" w:rsidRDefault="00345698" w:rsidP="00345698">
      <w:pPr>
        <w:numPr>
          <w:ilvl w:val="2"/>
          <w:numId w:val="12"/>
        </w:numPr>
        <w:jc w:val="both"/>
        <w:rPr>
          <w:lang w:val="es-ES"/>
        </w:rPr>
      </w:pPr>
      <w:r w:rsidRPr="00345698">
        <w:rPr>
          <w:lang w:val="es-ES"/>
        </w:rPr>
        <w:t xml:space="preserve">E.- Suministro de electricidad y agua. etc., </w:t>
      </w:r>
    </w:p>
    <w:p w:rsidR="00345698" w:rsidRPr="00345698" w:rsidRDefault="00345698" w:rsidP="00345698">
      <w:pPr>
        <w:numPr>
          <w:ilvl w:val="3"/>
          <w:numId w:val="12"/>
        </w:numPr>
        <w:jc w:val="both"/>
        <w:rPr>
          <w:lang w:val="es-ES"/>
        </w:rPr>
      </w:pPr>
      <w:r w:rsidRPr="00345698">
        <w:t>VAB Ramas Petroleras y no petroleras</w:t>
      </w:r>
    </w:p>
    <w:p w:rsidR="00345698" w:rsidRPr="00345698" w:rsidRDefault="00345698" w:rsidP="00345698">
      <w:pPr>
        <w:numPr>
          <w:ilvl w:val="3"/>
          <w:numId w:val="12"/>
        </w:numPr>
        <w:jc w:val="both"/>
        <w:rPr>
          <w:lang w:val="es-ES"/>
        </w:rPr>
      </w:pPr>
      <w:r w:rsidRPr="00345698">
        <w:t xml:space="preserve">Contribuciones al crecimiento, </w:t>
      </w:r>
    </w:p>
    <w:p w:rsidR="00345698" w:rsidRPr="00345698" w:rsidRDefault="00345698" w:rsidP="00345698">
      <w:pPr>
        <w:jc w:val="both"/>
        <w:rPr>
          <w:lang w:val="es-ES"/>
        </w:rPr>
      </w:pPr>
    </w:p>
    <w:p w:rsidR="00345698" w:rsidRDefault="00345698" w:rsidP="00133051">
      <w:pPr>
        <w:jc w:val="both"/>
        <w:rPr>
          <w:lang w:val="es-ES"/>
        </w:rPr>
      </w:pPr>
    </w:p>
    <w:p w:rsidR="005147AB" w:rsidRDefault="00345698" w:rsidP="00345698">
      <w:pPr>
        <w:jc w:val="both"/>
      </w:pPr>
      <w:r>
        <w:rPr>
          <w:lang w:val="es-ES"/>
        </w:rPr>
        <w:t xml:space="preserve">Para el cálculo de las Cuentas Nacionales Trimestrales en valores corrientes, es decir </w:t>
      </w:r>
      <w:r w:rsidR="005147AB">
        <w:rPr>
          <w:lang w:val="es-ES"/>
        </w:rPr>
        <w:t xml:space="preserve">a precios </w:t>
      </w:r>
      <w:r>
        <w:rPr>
          <w:lang w:val="es-ES"/>
        </w:rPr>
        <w:t>nominales</w:t>
      </w:r>
      <w:r w:rsidR="005147AB">
        <w:rPr>
          <w:lang w:val="es-ES"/>
        </w:rPr>
        <w:t xml:space="preserve">, </w:t>
      </w:r>
      <w:r>
        <w:rPr>
          <w:lang w:val="es-ES"/>
        </w:rPr>
        <w:t xml:space="preserve"> la metodología </w:t>
      </w:r>
      <w:r w:rsidRPr="00345698">
        <w:t xml:space="preserve">es la misma que se aplica para la construcción de las CNT a precios constantes. </w:t>
      </w:r>
    </w:p>
    <w:p w:rsidR="005147AB" w:rsidRDefault="005147AB" w:rsidP="00345698">
      <w:pPr>
        <w:jc w:val="both"/>
      </w:pPr>
    </w:p>
    <w:p w:rsidR="00345698" w:rsidRPr="00345698" w:rsidRDefault="00345698" w:rsidP="00345698">
      <w:pPr>
        <w:jc w:val="both"/>
      </w:pPr>
      <w:r w:rsidRPr="00345698">
        <w:t xml:space="preserve">Su particularidad radica en la utilización de </w:t>
      </w:r>
      <w:r w:rsidRPr="00345698">
        <w:rPr>
          <w:b/>
          <w:bCs/>
          <w:i/>
          <w:iCs/>
          <w:u w:val="single"/>
        </w:rPr>
        <w:t>indicadores trimestrales de valor</w:t>
      </w:r>
      <w:r w:rsidRPr="00345698">
        <w:t xml:space="preserve">, los cálculos también se realizan al mayor nivel de desagregación </w:t>
      </w:r>
      <w:r w:rsidR="005147AB">
        <w:t xml:space="preserve">es decir a </w:t>
      </w:r>
      <w:r w:rsidRPr="00345698">
        <w:t>45 industrias y 45 pr</w:t>
      </w:r>
      <w:r w:rsidR="005147AB">
        <w:t>oductos  (nivel de elaboración).</w:t>
      </w:r>
    </w:p>
    <w:p w:rsidR="00345698" w:rsidRPr="00345698" w:rsidRDefault="005147AB" w:rsidP="005147AB">
      <w:pPr>
        <w:jc w:val="both"/>
        <w:rPr>
          <w:lang w:val="es-ES"/>
        </w:rPr>
      </w:pPr>
      <w:r>
        <w:t>El procedimiento</w:t>
      </w:r>
      <w:r w:rsidR="00345698" w:rsidRPr="00345698">
        <w:t xml:space="preserve"> para obtener </w:t>
      </w:r>
      <w:r w:rsidR="00345698" w:rsidRPr="005147AB">
        <w:rPr>
          <w:bCs/>
          <w:iCs/>
        </w:rPr>
        <w:t>indicad</w:t>
      </w:r>
      <w:r>
        <w:rPr>
          <w:bCs/>
          <w:iCs/>
        </w:rPr>
        <w:t xml:space="preserve">ores trimestrales de valor (IV) es a través de la </w:t>
      </w:r>
      <w:r>
        <w:t>selecció</w:t>
      </w:r>
      <w:r w:rsidR="00345698" w:rsidRPr="00345698">
        <w:t>n y utiliza</w:t>
      </w:r>
      <w:r>
        <w:t>ció</w:t>
      </w:r>
      <w:r w:rsidR="00345698" w:rsidRPr="00345698">
        <w:t xml:space="preserve">n </w:t>
      </w:r>
      <w:r>
        <w:t xml:space="preserve">de </w:t>
      </w:r>
      <w:r w:rsidR="00345698" w:rsidRPr="005147AB">
        <w:rPr>
          <w:b/>
          <w:bCs/>
          <w:iCs/>
        </w:rPr>
        <w:t>indicadores de precio (</w:t>
      </w:r>
      <w:proofErr w:type="spellStart"/>
      <w:r w:rsidR="00345698" w:rsidRPr="005147AB">
        <w:rPr>
          <w:b/>
          <w:bCs/>
          <w:iCs/>
        </w:rPr>
        <w:t>ip</w:t>
      </w:r>
      <w:proofErr w:type="spellEnd"/>
      <w:r w:rsidR="00345698" w:rsidRPr="005147AB">
        <w:rPr>
          <w:b/>
          <w:bCs/>
          <w:iCs/>
        </w:rPr>
        <w:t>)</w:t>
      </w:r>
      <w:r w:rsidR="00345698" w:rsidRPr="00345698">
        <w:t xml:space="preserve"> que son multiplicados por las Cuentas Nacionales Trimestrales a precios constantes. </w:t>
      </w:r>
    </w:p>
    <w:p w:rsidR="00133051" w:rsidRDefault="00345698" w:rsidP="00133051">
      <w:pPr>
        <w:jc w:val="both"/>
        <w:rPr>
          <w:lang w:val="es-ES"/>
        </w:rPr>
      </w:pPr>
      <w:r>
        <w:rPr>
          <w:lang w:val="es-ES"/>
        </w:rPr>
        <w:t xml:space="preserve"> </w:t>
      </w:r>
    </w:p>
    <w:p w:rsidR="005147AB" w:rsidRPr="005147AB" w:rsidRDefault="005147AB" w:rsidP="005147AB">
      <w:pPr>
        <w:jc w:val="both"/>
        <w:rPr>
          <w:lang w:val="es-ES"/>
        </w:rPr>
      </w:pPr>
      <w:r w:rsidRPr="005147AB">
        <w:t>Los deflactores implícitos trimestrales (</w:t>
      </w:r>
      <w:proofErr w:type="spellStart"/>
      <w:r w:rsidRPr="005147AB">
        <w:rPr>
          <w:i/>
          <w:iCs/>
        </w:rPr>
        <w:t>defl</w:t>
      </w:r>
      <w:r w:rsidRPr="005147AB">
        <w:t>VM</w:t>
      </w:r>
      <w:r w:rsidRPr="005147AB">
        <w:rPr>
          <w:vertAlign w:val="subscript"/>
        </w:rPr>
        <w:t>t</w:t>
      </w:r>
      <w:proofErr w:type="spellEnd"/>
      <w:r w:rsidRPr="005147AB">
        <w:t>) permiten observar la variación de los precios implícitos trimestrales de cada una de las variables macroeconómicas, en particular del PIB, tanto desde la óptica de la producción de bienes y servicios como del gasto; su cálculo se lo realiza a partir de las Cuentas trimestrales en valores corrientes y constantes:</w:t>
      </w:r>
    </w:p>
    <w:p w:rsidR="005147AB" w:rsidRDefault="005147AB" w:rsidP="00133051">
      <w:pPr>
        <w:jc w:val="both"/>
        <w:rPr>
          <w:lang w:val="es-ES"/>
        </w:rPr>
      </w:pPr>
    </w:p>
    <w:p w:rsidR="005147AB" w:rsidRDefault="005147AB" w:rsidP="005147AB">
      <w:pPr>
        <w:jc w:val="both"/>
      </w:pPr>
      <w:r>
        <w:rPr>
          <w:lang w:val="es-ES"/>
        </w:rPr>
        <w:t xml:space="preserve">Finalmente las CNT </w:t>
      </w:r>
      <w:r w:rsidRPr="005147AB">
        <w:t>experimentan permanentemente revisiones para los períodos anteriores, por las siguientes causas:</w:t>
      </w:r>
    </w:p>
    <w:p w:rsidR="005147AB" w:rsidRPr="005147AB" w:rsidRDefault="005147AB" w:rsidP="005147AB">
      <w:pPr>
        <w:jc w:val="both"/>
      </w:pPr>
    </w:p>
    <w:p w:rsidR="00B76788" w:rsidRPr="005147AB" w:rsidRDefault="005147AB" w:rsidP="005147AB">
      <w:pPr>
        <w:numPr>
          <w:ilvl w:val="1"/>
          <w:numId w:val="14"/>
        </w:numPr>
        <w:jc w:val="both"/>
        <w:rPr>
          <w:lang w:val="es-ES"/>
        </w:rPr>
      </w:pPr>
      <w:r w:rsidRPr="005147AB">
        <w:t>Actualización de la información estadística de base.</w:t>
      </w:r>
    </w:p>
    <w:p w:rsidR="00B76788" w:rsidRPr="005147AB" w:rsidRDefault="005147AB" w:rsidP="005147AB">
      <w:pPr>
        <w:numPr>
          <w:ilvl w:val="1"/>
          <w:numId w:val="14"/>
        </w:numPr>
        <w:jc w:val="both"/>
        <w:rPr>
          <w:lang w:val="es-ES"/>
        </w:rPr>
      </w:pPr>
      <w:r w:rsidRPr="005147AB">
        <w:t>Revisiones necesarias en los cálculos derivados de la evolución (trimestral, anual) de otras estadísticas relacionadas con la variable a describir.</w:t>
      </w:r>
    </w:p>
    <w:p w:rsidR="00B76788" w:rsidRPr="005147AB" w:rsidRDefault="005147AB" w:rsidP="005147AB">
      <w:pPr>
        <w:numPr>
          <w:ilvl w:val="1"/>
          <w:numId w:val="14"/>
        </w:numPr>
        <w:jc w:val="both"/>
        <w:rPr>
          <w:lang w:val="es-ES"/>
        </w:rPr>
      </w:pPr>
      <w:r w:rsidRPr="005147AB">
        <w:t>Consistencia trimestral - anual (balances por producto) en la síntesis de las tablas Oferta - Utilización.</w:t>
      </w:r>
    </w:p>
    <w:p w:rsidR="00B76788" w:rsidRPr="005147AB" w:rsidRDefault="005147AB" w:rsidP="005147AB">
      <w:pPr>
        <w:numPr>
          <w:ilvl w:val="1"/>
          <w:numId w:val="14"/>
        </w:numPr>
        <w:jc w:val="both"/>
        <w:rPr>
          <w:lang w:val="es-ES"/>
        </w:rPr>
      </w:pPr>
      <w:r w:rsidRPr="005147AB">
        <w:lastRenderedPageBreak/>
        <w:t>Re-estimaciones econométricas y actualización de los modelos de corrección de variación estacional (CVE).</w:t>
      </w:r>
    </w:p>
    <w:p w:rsidR="00B76788" w:rsidRPr="005147AB" w:rsidRDefault="005147AB" w:rsidP="005147AB">
      <w:pPr>
        <w:numPr>
          <w:ilvl w:val="1"/>
          <w:numId w:val="14"/>
        </w:numPr>
        <w:jc w:val="both"/>
        <w:rPr>
          <w:lang w:val="es-ES"/>
        </w:rPr>
      </w:pPr>
      <w:r w:rsidRPr="005147AB">
        <w:t xml:space="preserve">Cambios derivados de modificaciones en los datos de la contabilidad anual (cambios de versión de provisionales, </w:t>
      </w:r>
      <w:proofErr w:type="spellStart"/>
      <w:r w:rsidRPr="005147AB">
        <w:t>semi</w:t>
      </w:r>
      <w:proofErr w:type="spellEnd"/>
      <w:r w:rsidRPr="005147AB">
        <w:t>-definitivas y definitivas) o por incorporar una nueva base de la contabilidad nacional.</w:t>
      </w:r>
    </w:p>
    <w:p w:rsidR="005147AB" w:rsidRPr="005147AB" w:rsidRDefault="005147AB" w:rsidP="005147AB">
      <w:pPr>
        <w:numPr>
          <w:ilvl w:val="1"/>
          <w:numId w:val="14"/>
        </w:numPr>
        <w:jc w:val="both"/>
        <w:rPr>
          <w:lang w:val="es-ES"/>
        </w:rPr>
      </w:pPr>
    </w:p>
    <w:p w:rsidR="005147AB" w:rsidRPr="005147AB" w:rsidRDefault="005147AB" w:rsidP="005147AB">
      <w:pPr>
        <w:jc w:val="both"/>
        <w:rPr>
          <w:lang w:val="es-ES"/>
        </w:rPr>
      </w:pPr>
      <w:r w:rsidRPr="005147AB">
        <w:rPr>
          <w:b/>
          <w:bCs/>
        </w:rPr>
        <w:t>Las cifras de las Cuentas Nacionales Trimestrales son provisionales y su condición de definitivas la adquieren cuando las Cuentas Nacionales Anuales así lo determinan.</w:t>
      </w:r>
    </w:p>
    <w:p w:rsidR="00133051" w:rsidRDefault="00133051" w:rsidP="00133051">
      <w:pPr>
        <w:jc w:val="both"/>
        <w:rPr>
          <w:lang w:val="es-ES"/>
        </w:rPr>
      </w:pPr>
    </w:p>
    <w:p w:rsidR="00133051" w:rsidRDefault="00133051" w:rsidP="00133051">
      <w:pPr>
        <w:jc w:val="both"/>
        <w:rPr>
          <w:lang w:val="es-ES"/>
        </w:rPr>
      </w:pPr>
      <w:r>
        <w:rPr>
          <w:lang w:val="es-ES"/>
        </w:rPr>
        <w:t>Hasta el momento (agosto de 2021) el BCE ha realizado 115</w:t>
      </w:r>
      <w:r w:rsidRPr="00B72226">
        <w:rPr>
          <w:lang w:val="es-ES"/>
        </w:rPr>
        <w:t xml:space="preserve"> publicaciones con resultados, presentaciones e informes de resultados de las de las Cuentas Nacionales Trimestrales, para usuarios como autoridades del gobierno, organismos internacionales, prensa, especialistas y ci</w:t>
      </w:r>
      <w:r>
        <w:rPr>
          <w:lang w:val="es-ES"/>
        </w:rPr>
        <w:t>udadanía. La  publicación No. 115</w:t>
      </w:r>
      <w:r w:rsidRPr="00B72226">
        <w:rPr>
          <w:lang w:val="es-ES"/>
        </w:rPr>
        <w:t xml:space="preserve"> presenta datos en valores corrientes, constantes de </w:t>
      </w:r>
      <w:r>
        <w:rPr>
          <w:lang w:val="es-ES"/>
        </w:rPr>
        <w:t>2007 al primer trimestre de 2021</w:t>
      </w:r>
      <w:r w:rsidRPr="00B72226">
        <w:rPr>
          <w:lang w:val="es-ES"/>
        </w:rPr>
        <w:t>.</w:t>
      </w:r>
    </w:p>
    <w:p w:rsidR="005147AB" w:rsidRDefault="005147AB" w:rsidP="00133051">
      <w:pPr>
        <w:jc w:val="both"/>
        <w:rPr>
          <w:lang w:val="es-ES"/>
        </w:rPr>
      </w:pPr>
    </w:p>
    <w:p w:rsidR="005147AB" w:rsidRPr="00B72226" w:rsidRDefault="005147AB" w:rsidP="00133051">
      <w:pPr>
        <w:jc w:val="both"/>
        <w:rPr>
          <w:lang w:val="es-ES"/>
        </w:rPr>
      </w:pPr>
      <w:r>
        <w:rPr>
          <w:lang w:val="es-ES"/>
        </w:rPr>
        <w:t>En la intranet institucional se encuentra publicado el Manual de Procesos y Procedimientos de la Gestión de Cuentas Nacionales Versión 1.0 de octubre de 2017, en donde se puede encontrar el Subproceso de Cuentas Nacionales Trimestrales y su caracterización a partir de la página 39.</w:t>
      </w:r>
    </w:p>
    <w:p w:rsidR="00D52D11" w:rsidRDefault="00D52D11"/>
    <w:sectPr w:rsidR="00D52D11" w:rsidSect="00203D07">
      <w:headerReference w:type="default"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626" w:rsidRDefault="009C2626" w:rsidP="00D52D11">
      <w:r>
        <w:separator/>
      </w:r>
    </w:p>
  </w:endnote>
  <w:endnote w:type="continuationSeparator" w:id="0">
    <w:p w:rsidR="009C2626" w:rsidRDefault="009C2626" w:rsidP="00D5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698" w:rsidRDefault="00345698">
    <w:pPr>
      <w:pStyle w:val="Piedepgina"/>
    </w:pPr>
    <w:r>
      <w:rPr>
        <w:noProof/>
        <w:lang w:eastAsia="es-EC"/>
      </w:rPr>
      <w:drawing>
        <wp:anchor distT="0" distB="0" distL="114300" distR="114300" simplePos="0" relativeHeight="251658240" behindDoc="1" locked="0" layoutInCell="1" allowOverlap="1">
          <wp:simplePos x="0" y="0"/>
          <wp:positionH relativeFrom="column">
            <wp:posOffset>-1082675</wp:posOffset>
          </wp:positionH>
          <wp:positionV relativeFrom="paragraph">
            <wp:posOffset>-48260</wp:posOffset>
          </wp:positionV>
          <wp:extent cx="7550873" cy="864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50873" cy="864000"/>
                  </a:xfrm>
                  <a:prstGeom prst="rect">
                    <a:avLst/>
                  </a:prstGeom>
                </pic:spPr>
              </pic:pic>
            </a:graphicData>
          </a:graphic>
        </wp:anchor>
      </w:drawing>
    </w:r>
  </w:p>
  <w:p w:rsidR="00345698" w:rsidRDefault="0034569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626" w:rsidRDefault="009C2626" w:rsidP="00D52D11">
      <w:r>
        <w:separator/>
      </w:r>
    </w:p>
  </w:footnote>
  <w:footnote w:type="continuationSeparator" w:id="0">
    <w:p w:rsidR="009C2626" w:rsidRDefault="009C2626" w:rsidP="00D52D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698" w:rsidRDefault="00345698" w:rsidP="00D52D11">
    <w:pPr>
      <w:pStyle w:val="Encabezado"/>
      <w:tabs>
        <w:tab w:val="clear" w:pos="4419"/>
        <w:tab w:val="clear" w:pos="8838"/>
        <w:tab w:val="left" w:pos="1183"/>
      </w:tabs>
    </w:pPr>
  </w:p>
  <w:p w:rsidR="00345698" w:rsidRDefault="00345698" w:rsidP="00D52D11">
    <w:pPr>
      <w:pStyle w:val="Encabezado"/>
      <w:tabs>
        <w:tab w:val="clear" w:pos="4419"/>
        <w:tab w:val="clear" w:pos="8838"/>
        <w:tab w:val="left" w:pos="1183"/>
      </w:tabs>
    </w:pPr>
  </w:p>
  <w:p w:rsidR="00345698" w:rsidRDefault="00345698" w:rsidP="00D52D11">
    <w:pPr>
      <w:pStyle w:val="Encabezado"/>
      <w:tabs>
        <w:tab w:val="clear" w:pos="4419"/>
        <w:tab w:val="clear" w:pos="8838"/>
        <w:tab w:val="left" w:pos="1183"/>
      </w:tabs>
    </w:pPr>
  </w:p>
  <w:p w:rsidR="00345698" w:rsidRDefault="00345698" w:rsidP="00D52D11">
    <w:pPr>
      <w:pStyle w:val="Encabezado"/>
      <w:tabs>
        <w:tab w:val="clear" w:pos="4419"/>
        <w:tab w:val="clear" w:pos="8838"/>
        <w:tab w:val="left" w:pos="1183"/>
      </w:tabs>
    </w:pPr>
    <w:r>
      <w:rPr>
        <w:noProof/>
        <w:lang w:eastAsia="es-EC"/>
      </w:rPr>
      <w:drawing>
        <wp:anchor distT="0" distB="0" distL="114300" distR="114300" simplePos="0" relativeHeight="251659264" behindDoc="1" locked="0" layoutInCell="1" allowOverlap="1">
          <wp:simplePos x="0" y="0"/>
          <wp:positionH relativeFrom="margin">
            <wp:posOffset>43815</wp:posOffset>
          </wp:positionH>
          <wp:positionV relativeFrom="margin">
            <wp:posOffset>-1100455</wp:posOffset>
          </wp:positionV>
          <wp:extent cx="5305425" cy="914400"/>
          <wp:effectExtent l="0" t="0" r="317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305425" cy="914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B02"/>
    <w:multiLevelType w:val="hybridMultilevel"/>
    <w:tmpl w:val="A3324C84"/>
    <w:lvl w:ilvl="0" w:tplc="BFBE5B06">
      <w:start w:val="1"/>
      <w:numFmt w:val="bullet"/>
      <w:lvlText w:val="•"/>
      <w:lvlJc w:val="left"/>
      <w:pPr>
        <w:tabs>
          <w:tab w:val="num" w:pos="720"/>
        </w:tabs>
        <w:ind w:left="720" w:hanging="360"/>
      </w:pPr>
      <w:rPr>
        <w:rFonts w:ascii="Arial" w:hAnsi="Arial" w:hint="default"/>
      </w:rPr>
    </w:lvl>
    <w:lvl w:ilvl="1" w:tplc="8CD2ECAE">
      <w:start w:val="1"/>
      <w:numFmt w:val="bullet"/>
      <w:lvlText w:val="•"/>
      <w:lvlJc w:val="left"/>
      <w:pPr>
        <w:tabs>
          <w:tab w:val="num" w:pos="1440"/>
        </w:tabs>
        <w:ind w:left="1440" w:hanging="360"/>
      </w:pPr>
      <w:rPr>
        <w:rFonts w:ascii="Arial" w:hAnsi="Arial" w:hint="default"/>
      </w:rPr>
    </w:lvl>
    <w:lvl w:ilvl="2" w:tplc="8012B3C2" w:tentative="1">
      <w:start w:val="1"/>
      <w:numFmt w:val="bullet"/>
      <w:lvlText w:val="•"/>
      <w:lvlJc w:val="left"/>
      <w:pPr>
        <w:tabs>
          <w:tab w:val="num" w:pos="2160"/>
        </w:tabs>
        <w:ind w:left="2160" w:hanging="360"/>
      </w:pPr>
      <w:rPr>
        <w:rFonts w:ascii="Arial" w:hAnsi="Arial" w:hint="default"/>
      </w:rPr>
    </w:lvl>
    <w:lvl w:ilvl="3" w:tplc="B7D28EDE" w:tentative="1">
      <w:start w:val="1"/>
      <w:numFmt w:val="bullet"/>
      <w:lvlText w:val="•"/>
      <w:lvlJc w:val="left"/>
      <w:pPr>
        <w:tabs>
          <w:tab w:val="num" w:pos="2880"/>
        </w:tabs>
        <w:ind w:left="2880" w:hanging="360"/>
      </w:pPr>
      <w:rPr>
        <w:rFonts w:ascii="Arial" w:hAnsi="Arial" w:hint="default"/>
      </w:rPr>
    </w:lvl>
    <w:lvl w:ilvl="4" w:tplc="83C82B2C" w:tentative="1">
      <w:start w:val="1"/>
      <w:numFmt w:val="bullet"/>
      <w:lvlText w:val="•"/>
      <w:lvlJc w:val="left"/>
      <w:pPr>
        <w:tabs>
          <w:tab w:val="num" w:pos="3600"/>
        </w:tabs>
        <w:ind w:left="3600" w:hanging="360"/>
      </w:pPr>
      <w:rPr>
        <w:rFonts w:ascii="Arial" w:hAnsi="Arial" w:hint="default"/>
      </w:rPr>
    </w:lvl>
    <w:lvl w:ilvl="5" w:tplc="9F0E7940" w:tentative="1">
      <w:start w:val="1"/>
      <w:numFmt w:val="bullet"/>
      <w:lvlText w:val="•"/>
      <w:lvlJc w:val="left"/>
      <w:pPr>
        <w:tabs>
          <w:tab w:val="num" w:pos="4320"/>
        </w:tabs>
        <w:ind w:left="4320" w:hanging="360"/>
      </w:pPr>
      <w:rPr>
        <w:rFonts w:ascii="Arial" w:hAnsi="Arial" w:hint="default"/>
      </w:rPr>
    </w:lvl>
    <w:lvl w:ilvl="6" w:tplc="31D889CE" w:tentative="1">
      <w:start w:val="1"/>
      <w:numFmt w:val="bullet"/>
      <w:lvlText w:val="•"/>
      <w:lvlJc w:val="left"/>
      <w:pPr>
        <w:tabs>
          <w:tab w:val="num" w:pos="5040"/>
        </w:tabs>
        <w:ind w:left="5040" w:hanging="360"/>
      </w:pPr>
      <w:rPr>
        <w:rFonts w:ascii="Arial" w:hAnsi="Arial" w:hint="default"/>
      </w:rPr>
    </w:lvl>
    <w:lvl w:ilvl="7" w:tplc="459CE646" w:tentative="1">
      <w:start w:val="1"/>
      <w:numFmt w:val="bullet"/>
      <w:lvlText w:val="•"/>
      <w:lvlJc w:val="left"/>
      <w:pPr>
        <w:tabs>
          <w:tab w:val="num" w:pos="5760"/>
        </w:tabs>
        <w:ind w:left="5760" w:hanging="360"/>
      </w:pPr>
      <w:rPr>
        <w:rFonts w:ascii="Arial" w:hAnsi="Arial" w:hint="default"/>
      </w:rPr>
    </w:lvl>
    <w:lvl w:ilvl="8" w:tplc="C136B9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C106D8"/>
    <w:multiLevelType w:val="hybridMultilevel"/>
    <w:tmpl w:val="72640450"/>
    <w:lvl w:ilvl="0" w:tplc="D8CEDE5C">
      <w:start w:val="1"/>
      <w:numFmt w:val="bullet"/>
      <w:lvlText w:val="•"/>
      <w:lvlJc w:val="left"/>
      <w:pPr>
        <w:tabs>
          <w:tab w:val="num" w:pos="720"/>
        </w:tabs>
        <w:ind w:left="720" w:hanging="360"/>
      </w:pPr>
      <w:rPr>
        <w:rFonts w:ascii="Times New Roman" w:hAnsi="Times New Roman" w:hint="default"/>
      </w:rPr>
    </w:lvl>
    <w:lvl w:ilvl="1" w:tplc="F69A15D2">
      <w:start w:val="1"/>
      <w:numFmt w:val="bullet"/>
      <w:lvlText w:val="•"/>
      <w:lvlJc w:val="left"/>
      <w:pPr>
        <w:tabs>
          <w:tab w:val="num" w:pos="1440"/>
        </w:tabs>
        <w:ind w:left="1440" w:hanging="360"/>
      </w:pPr>
      <w:rPr>
        <w:rFonts w:ascii="Times New Roman" w:hAnsi="Times New Roman" w:hint="default"/>
      </w:rPr>
    </w:lvl>
    <w:lvl w:ilvl="2" w:tplc="63AA02AE" w:tentative="1">
      <w:start w:val="1"/>
      <w:numFmt w:val="bullet"/>
      <w:lvlText w:val="•"/>
      <w:lvlJc w:val="left"/>
      <w:pPr>
        <w:tabs>
          <w:tab w:val="num" w:pos="2160"/>
        </w:tabs>
        <w:ind w:left="2160" w:hanging="360"/>
      </w:pPr>
      <w:rPr>
        <w:rFonts w:ascii="Times New Roman" w:hAnsi="Times New Roman" w:hint="default"/>
      </w:rPr>
    </w:lvl>
    <w:lvl w:ilvl="3" w:tplc="0A2CB9C6" w:tentative="1">
      <w:start w:val="1"/>
      <w:numFmt w:val="bullet"/>
      <w:lvlText w:val="•"/>
      <w:lvlJc w:val="left"/>
      <w:pPr>
        <w:tabs>
          <w:tab w:val="num" w:pos="2880"/>
        </w:tabs>
        <w:ind w:left="2880" w:hanging="360"/>
      </w:pPr>
      <w:rPr>
        <w:rFonts w:ascii="Times New Roman" w:hAnsi="Times New Roman" w:hint="default"/>
      </w:rPr>
    </w:lvl>
    <w:lvl w:ilvl="4" w:tplc="52F857F6" w:tentative="1">
      <w:start w:val="1"/>
      <w:numFmt w:val="bullet"/>
      <w:lvlText w:val="•"/>
      <w:lvlJc w:val="left"/>
      <w:pPr>
        <w:tabs>
          <w:tab w:val="num" w:pos="3600"/>
        </w:tabs>
        <w:ind w:left="3600" w:hanging="360"/>
      </w:pPr>
      <w:rPr>
        <w:rFonts w:ascii="Times New Roman" w:hAnsi="Times New Roman" w:hint="default"/>
      </w:rPr>
    </w:lvl>
    <w:lvl w:ilvl="5" w:tplc="F1FCDA24" w:tentative="1">
      <w:start w:val="1"/>
      <w:numFmt w:val="bullet"/>
      <w:lvlText w:val="•"/>
      <w:lvlJc w:val="left"/>
      <w:pPr>
        <w:tabs>
          <w:tab w:val="num" w:pos="4320"/>
        </w:tabs>
        <w:ind w:left="4320" w:hanging="360"/>
      </w:pPr>
      <w:rPr>
        <w:rFonts w:ascii="Times New Roman" w:hAnsi="Times New Roman" w:hint="default"/>
      </w:rPr>
    </w:lvl>
    <w:lvl w:ilvl="6" w:tplc="4E4C1F6C" w:tentative="1">
      <w:start w:val="1"/>
      <w:numFmt w:val="bullet"/>
      <w:lvlText w:val="•"/>
      <w:lvlJc w:val="left"/>
      <w:pPr>
        <w:tabs>
          <w:tab w:val="num" w:pos="5040"/>
        </w:tabs>
        <w:ind w:left="5040" w:hanging="360"/>
      </w:pPr>
      <w:rPr>
        <w:rFonts w:ascii="Times New Roman" w:hAnsi="Times New Roman" w:hint="default"/>
      </w:rPr>
    </w:lvl>
    <w:lvl w:ilvl="7" w:tplc="CFDCB320" w:tentative="1">
      <w:start w:val="1"/>
      <w:numFmt w:val="bullet"/>
      <w:lvlText w:val="•"/>
      <w:lvlJc w:val="left"/>
      <w:pPr>
        <w:tabs>
          <w:tab w:val="num" w:pos="5760"/>
        </w:tabs>
        <w:ind w:left="5760" w:hanging="360"/>
      </w:pPr>
      <w:rPr>
        <w:rFonts w:ascii="Times New Roman" w:hAnsi="Times New Roman" w:hint="default"/>
      </w:rPr>
    </w:lvl>
    <w:lvl w:ilvl="8" w:tplc="81FAE22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F6D1E9E"/>
    <w:multiLevelType w:val="hybridMultilevel"/>
    <w:tmpl w:val="B2C84E74"/>
    <w:lvl w:ilvl="0" w:tplc="08FE6930">
      <w:start w:val="1"/>
      <w:numFmt w:val="bullet"/>
      <w:lvlText w:val="–"/>
      <w:lvlJc w:val="left"/>
      <w:pPr>
        <w:tabs>
          <w:tab w:val="num" w:pos="720"/>
        </w:tabs>
        <w:ind w:left="720" w:hanging="360"/>
      </w:pPr>
      <w:rPr>
        <w:rFonts w:ascii="Times New Roman" w:hAnsi="Times New Roman" w:hint="default"/>
      </w:rPr>
    </w:lvl>
    <w:lvl w:ilvl="1" w:tplc="B1800708">
      <w:start w:val="1"/>
      <w:numFmt w:val="bullet"/>
      <w:lvlText w:val="–"/>
      <w:lvlJc w:val="left"/>
      <w:pPr>
        <w:tabs>
          <w:tab w:val="num" w:pos="1440"/>
        </w:tabs>
        <w:ind w:left="1440" w:hanging="360"/>
      </w:pPr>
      <w:rPr>
        <w:rFonts w:ascii="Times New Roman" w:hAnsi="Times New Roman" w:hint="default"/>
      </w:rPr>
    </w:lvl>
    <w:lvl w:ilvl="2" w:tplc="2E18CB92" w:tentative="1">
      <w:start w:val="1"/>
      <w:numFmt w:val="bullet"/>
      <w:lvlText w:val="–"/>
      <w:lvlJc w:val="left"/>
      <w:pPr>
        <w:tabs>
          <w:tab w:val="num" w:pos="2160"/>
        </w:tabs>
        <w:ind w:left="2160" w:hanging="360"/>
      </w:pPr>
      <w:rPr>
        <w:rFonts w:ascii="Times New Roman" w:hAnsi="Times New Roman" w:hint="default"/>
      </w:rPr>
    </w:lvl>
    <w:lvl w:ilvl="3" w:tplc="5C164354" w:tentative="1">
      <w:start w:val="1"/>
      <w:numFmt w:val="bullet"/>
      <w:lvlText w:val="–"/>
      <w:lvlJc w:val="left"/>
      <w:pPr>
        <w:tabs>
          <w:tab w:val="num" w:pos="2880"/>
        </w:tabs>
        <w:ind w:left="2880" w:hanging="360"/>
      </w:pPr>
      <w:rPr>
        <w:rFonts w:ascii="Times New Roman" w:hAnsi="Times New Roman" w:hint="default"/>
      </w:rPr>
    </w:lvl>
    <w:lvl w:ilvl="4" w:tplc="5D98F268" w:tentative="1">
      <w:start w:val="1"/>
      <w:numFmt w:val="bullet"/>
      <w:lvlText w:val="–"/>
      <w:lvlJc w:val="left"/>
      <w:pPr>
        <w:tabs>
          <w:tab w:val="num" w:pos="3600"/>
        </w:tabs>
        <w:ind w:left="3600" w:hanging="360"/>
      </w:pPr>
      <w:rPr>
        <w:rFonts w:ascii="Times New Roman" w:hAnsi="Times New Roman" w:hint="default"/>
      </w:rPr>
    </w:lvl>
    <w:lvl w:ilvl="5" w:tplc="035AFFC4" w:tentative="1">
      <w:start w:val="1"/>
      <w:numFmt w:val="bullet"/>
      <w:lvlText w:val="–"/>
      <w:lvlJc w:val="left"/>
      <w:pPr>
        <w:tabs>
          <w:tab w:val="num" w:pos="4320"/>
        </w:tabs>
        <w:ind w:left="4320" w:hanging="360"/>
      </w:pPr>
      <w:rPr>
        <w:rFonts w:ascii="Times New Roman" w:hAnsi="Times New Roman" w:hint="default"/>
      </w:rPr>
    </w:lvl>
    <w:lvl w:ilvl="6" w:tplc="92CAB77A" w:tentative="1">
      <w:start w:val="1"/>
      <w:numFmt w:val="bullet"/>
      <w:lvlText w:val="–"/>
      <w:lvlJc w:val="left"/>
      <w:pPr>
        <w:tabs>
          <w:tab w:val="num" w:pos="5040"/>
        </w:tabs>
        <w:ind w:left="5040" w:hanging="360"/>
      </w:pPr>
      <w:rPr>
        <w:rFonts w:ascii="Times New Roman" w:hAnsi="Times New Roman" w:hint="default"/>
      </w:rPr>
    </w:lvl>
    <w:lvl w:ilvl="7" w:tplc="4444570A" w:tentative="1">
      <w:start w:val="1"/>
      <w:numFmt w:val="bullet"/>
      <w:lvlText w:val="–"/>
      <w:lvlJc w:val="left"/>
      <w:pPr>
        <w:tabs>
          <w:tab w:val="num" w:pos="5760"/>
        </w:tabs>
        <w:ind w:left="5760" w:hanging="360"/>
      </w:pPr>
      <w:rPr>
        <w:rFonts w:ascii="Times New Roman" w:hAnsi="Times New Roman" w:hint="default"/>
      </w:rPr>
    </w:lvl>
    <w:lvl w:ilvl="8" w:tplc="6B68EB3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4892FEA"/>
    <w:multiLevelType w:val="hybridMultilevel"/>
    <w:tmpl w:val="A146A1C6"/>
    <w:lvl w:ilvl="0" w:tplc="C58E5226">
      <w:start w:val="1"/>
      <w:numFmt w:val="bullet"/>
      <w:lvlText w:val="•"/>
      <w:lvlJc w:val="left"/>
      <w:pPr>
        <w:tabs>
          <w:tab w:val="num" w:pos="720"/>
        </w:tabs>
        <w:ind w:left="720" w:hanging="360"/>
      </w:pPr>
      <w:rPr>
        <w:rFonts w:ascii="Times New Roman" w:hAnsi="Times New Roman" w:hint="default"/>
      </w:rPr>
    </w:lvl>
    <w:lvl w:ilvl="1" w:tplc="F3C6B214" w:tentative="1">
      <w:start w:val="1"/>
      <w:numFmt w:val="bullet"/>
      <w:lvlText w:val="•"/>
      <w:lvlJc w:val="left"/>
      <w:pPr>
        <w:tabs>
          <w:tab w:val="num" w:pos="1440"/>
        </w:tabs>
        <w:ind w:left="1440" w:hanging="360"/>
      </w:pPr>
      <w:rPr>
        <w:rFonts w:ascii="Times New Roman" w:hAnsi="Times New Roman" w:hint="default"/>
      </w:rPr>
    </w:lvl>
    <w:lvl w:ilvl="2" w:tplc="4BCA11DC" w:tentative="1">
      <w:start w:val="1"/>
      <w:numFmt w:val="bullet"/>
      <w:lvlText w:val="•"/>
      <w:lvlJc w:val="left"/>
      <w:pPr>
        <w:tabs>
          <w:tab w:val="num" w:pos="2160"/>
        </w:tabs>
        <w:ind w:left="2160" w:hanging="360"/>
      </w:pPr>
      <w:rPr>
        <w:rFonts w:ascii="Times New Roman" w:hAnsi="Times New Roman" w:hint="default"/>
      </w:rPr>
    </w:lvl>
    <w:lvl w:ilvl="3" w:tplc="973083F4" w:tentative="1">
      <w:start w:val="1"/>
      <w:numFmt w:val="bullet"/>
      <w:lvlText w:val="•"/>
      <w:lvlJc w:val="left"/>
      <w:pPr>
        <w:tabs>
          <w:tab w:val="num" w:pos="2880"/>
        </w:tabs>
        <w:ind w:left="2880" w:hanging="360"/>
      </w:pPr>
      <w:rPr>
        <w:rFonts w:ascii="Times New Roman" w:hAnsi="Times New Roman" w:hint="default"/>
      </w:rPr>
    </w:lvl>
    <w:lvl w:ilvl="4" w:tplc="D0EA2E6C" w:tentative="1">
      <w:start w:val="1"/>
      <w:numFmt w:val="bullet"/>
      <w:lvlText w:val="•"/>
      <w:lvlJc w:val="left"/>
      <w:pPr>
        <w:tabs>
          <w:tab w:val="num" w:pos="3600"/>
        </w:tabs>
        <w:ind w:left="3600" w:hanging="360"/>
      </w:pPr>
      <w:rPr>
        <w:rFonts w:ascii="Times New Roman" w:hAnsi="Times New Roman" w:hint="default"/>
      </w:rPr>
    </w:lvl>
    <w:lvl w:ilvl="5" w:tplc="6A06D75C" w:tentative="1">
      <w:start w:val="1"/>
      <w:numFmt w:val="bullet"/>
      <w:lvlText w:val="•"/>
      <w:lvlJc w:val="left"/>
      <w:pPr>
        <w:tabs>
          <w:tab w:val="num" w:pos="4320"/>
        </w:tabs>
        <w:ind w:left="4320" w:hanging="360"/>
      </w:pPr>
      <w:rPr>
        <w:rFonts w:ascii="Times New Roman" w:hAnsi="Times New Roman" w:hint="default"/>
      </w:rPr>
    </w:lvl>
    <w:lvl w:ilvl="6" w:tplc="5C0A3FD2" w:tentative="1">
      <w:start w:val="1"/>
      <w:numFmt w:val="bullet"/>
      <w:lvlText w:val="•"/>
      <w:lvlJc w:val="left"/>
      <w:pPr>
        <w:tabs>
          <w:tab w:val="num" w:pos="5040"/>
        </w:tabs>
        <w:ind w:left="5040" w:hanging="360"/>
      </w:pPr>
      <w:rPr>
        <w:rFonts w:ascii="Times New Roman" w:hAnsi="Times New Roman" w:hint="default"/>
      </w:rPr>
    </w:lvl>
    <w:lvl w:ilvl="7" w:tplc="F07A2E38" w:tentative="1">
      <w:start w:val="1"/>
      <w:numFmt w:val="bullet"/>
      <w:lvlText w:val="•"/>
      <w:lvlJc w:val="left"/>
      <w:pPr>
        <w:tabs>
          <w:tab w:val="num" w:pos="5760"/>
        </w:tabs>
        <w:ind w:left="5760" w:hanging="360"/>
      </w:pPr>
      <w:rPr>
        <w:rFonts w:ascii="Times New Roman" w:hAnsi="Times New Roman" w:hint="default"/>
      </w:rPr>
    </w:lvl>
    <w:lvl w:ilvl="8" w:tplc="6576E7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98616CD"/>
    <w:multiLevelType w:val="hybridMultilevel"/>
    <w:tmpl w:val="EFFA0D10"/>
    <w:lvl w:ilvl="0" w:tplc="6CD8FFFC">
      <w:start w:val="1"/>
      <w:numFmt w:val="bullet"/>
      <w:lvlText w:val="o"/>
      <w:lvlJc w:val="left"/>
      <w:pPr>
        <w:tabs>
          <w:tab w:val="num" w:pos="720"/>
        </w:tabs>
        <w:ind w:left="720" w:hanging="360"/>
      </w:pPr>
      <w:rPr>
        <w:rFonts w:ascii="Courier New" w:hAnsi="Courier New" w:hint="default"/>
      </w:rPr>
    </w:lvl>
    <w:lvl w:ilvl="1" w:tplc="021C402E" w:tentative="1">
      <w:start w:val="1"/>
      <w:numFmt w:val="bullet"/>
      <w:lvlText w:val="o"/>
      <w:lvlJc w:val="left"/>
      <w:pPr>
        <w:tabs>
          <w:tab w:val="num" w:pos="1440"/>
        </w:tabs>
        <w:ind w:left="1440" w:hanging="360"/>
      </w:pPr>
      <w:rPr>
        <w:rFonts w:ascii="Courier New" w:hAnsi="Courier New" w:hint="default"/>
      </w:rPr>
    </w:lvl>
    <w:lvl w:ilvl="2" w:tplc="8FAE8DE4" w:tentative="1">
      <w:start w:val="1"/>
      <w:numFmt w:val="bullet"/>
      <w:lvlText w:val="o"/>
      <w:lvlJc w:val="left"/>
      <w:pPr>
        <w:tabs>
          <w:tab w:val="num" w:pos="2160"/>
        </w:tabs>
        <w:ind w:left="2160" w:hanging="360"/>
      </w:pPr>
      <w:rPr>
        <w:rFonts w:ascii="Courier New" w:hAnsi="Courier New" w:hint="default"/>
      </w:rPr>
    </w:lvl>
    <w:lvl w:ilvl="3" w:tplc="045C81F6">
      <w:start w:val="1"/>
      <w:numFmt w:val="bullet"/>
      <w:lvlText w:val="o"/>
      <w:lvlJc w:val="left"/>
      <w:pPr>
        <w:tabs>
          <w:tab w:val="num" w:pos="2880"/>
        </w:tabs>
        <w:ind w:left="2880" w:hanging="360"/>
      </w:pPr>
      <w:rPr>
        <w:rFonts w:ascii="Courier New" w:hAnsi="Courier New" w:hint="default"/>
      </w:rPr>
    </w:lvl>
    <w:lvl w:ilvl="4" w:tplc="248C6F4E" w:tentative="1">
      <w:start w:val="1"/>
      <w:numFmt w:val="bullet"/>
      <w:lvlText w:val="o"/>
      <w:lvlJc w:val="left"/>
      <w:pPr>
        <w:tabs>
          <w:tab w:val="num" w:pos="3600"/>
        </w:tabs>
        <w:ind w:left="3600" w:hanging="360"/>
      </w:pPr>
      <w:rPr>
        <w:rFonts w:ascii="Courier New" w:hAnsi="Courier New" w:hint="default"/>
      </w:rPr>
    </w:lvl>
    <w:lvl w:ilvl="5" w:tplc="6A90850A" w:tentative="1">
      <w:start w:val="1"/>
      <w:numFmt w:val="bullet"/>
      <w:lvlText w:val="o"/>
      <w:lvlJc w:val="left"/>
      <w:pPr>
        <w:tabs>
          <w:tab w:val="num" w:pos="4320"/>
        </w:tabs>
        <w:ind w:left="4320" w:hanging="360"/>
      </w:pPr>
      <w:rPr>
        <w:rFonts w:ascii="Courier New" w:hAnsi="Courier New" w:hint="default"/>
      </w:rPr>
    </w:lvl>
    <w:lvl w:ilvl="6" w:tplc="2F6EEFE4" w:tentative="1">
      <w:start w:val="1"/>
      <w:numFmt w:val="bullet"/>
      <w:lvlText w:val="o"/>
      <w:lvlJc w:val="left"/>
      <w:pPr>
        <w:tabs>
          <w:tab w:val="num" w:pos="5040"/>
        </w:tabs>
        <w:ind w:left="5040" w:hanging="360"/>
      </w:pPr>
      <w:rPr>
        <w:rFonts w:ascii="Courier New" w:hAnsi="Courier New" w:hint="default"/>
      </w:rPr>
    </w:lvl>
    <w:lvl w:ilvl="7" w:tplc="7C065EBA" w:tentative="1">
      <w:start w:val="1"/>
      <w:numFmt w:val="bullet"/>
      <w:lvlText w:val="o"/>
      <w:lvlJc w:val="left"/>
      <w:pPr>
        <w:tabs>
          <w:tab w:val="num" w:pos="5760"/>
        </w:tabs>
        <w:ind w:left="5760" w:hanging="360"/>
      </w:pPr>
      <w:rPr>
        <w:rFonts w:ascii="Courier New" w:hAnsi="Courier New" w:hint="default"/>
      </w:rPr>
    </w:lvl>
    <w:lvl w:ilvl="8" w:tplc="6DCE0FA6"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3D14635C"/>
    <w:multiLevelType w:val="hybridMultilevel"/>
    <w:tmpl w:val="0A0E19BE"/>
    <w:lvl w:ilvl="0" w:tplc="02722798">
      <w:start w:val="1"/>
      <w:numFmt w:val="bullet"/>
      <w:lvlText w:val="–"/>
      <w:lvlJc w:val="left"/>
      <w:pPr>
        <w:tabs>
          <w:tab w:val="num" w:pos="720"/>
        </w:tabs>
        <w:ind w:left="720" w:hanging="360"/>
      </w:pPr>
      <w:rPr>
        <w:rFonts w:ascii="Times New Roman" w:hAnsi="Times New Roman" w:hint="default"/>
      </w:rPr>
    </w:lvl>
    <w:lvl w:ilvl="1" w:tplc="54F0D33C">
      <w:start w:val="1"/>
      <w:numFmt w:val="bullet"/>
      <w:lvlText w:val="–"/>
      <w:lvlJc w:val="left"/>
      <w:pPr>
        <w:tabs>
          <w:tab w:val="num" w:pos="1440"/>
        </w:tabs>
        <w:ind w:left="1440" w:hanging="360"/>
      </w:pPr>
      <w:rPr>
        <w:rFonts w:ascii="Times New Roman" w:hAnsi="Times New Roman" w:hint="default"/>
      </w:rPr>
    </w:lvl>
    <w:lvl w:ilvl="2" w:tplc="4CCE13C4">
      <w:start w:val="1733"/>
      <w:numFmt w:val="bullet"/>
      <w:lvlText w:val="•"/>
      <w:lvlJc w:val="left"/>
      <w:pPr>
        <w:tabs>
          <w:tab w:val="num" w:pos="2160"/>
        </w:tabs>
        <w:ind w:left="2160" w:hanging="360"/>
      </w:pPr>
      <w:rPr>
        <w:rFonts w:ascii="Times New Roman" w:hAnsi="Times New Roman" w:hint="default"/>
      </w:rPr>
    </w:lvl>
    <w:lvl w:ilvl="3" w:tplc="C4744128" w:tentative="1">
      <w:start w:val="1"/>
      <w:numFmt w:val="bullet"/>
      <w:lvlText w:val="–"/>
      <w:lvlJc w:val="left"/>
      <w:pPr>
        <w:tabs>
          <w:tab w:val="num" w:pos="2880"/>
        </w:tabs>
        <w:ind w:left="2880" w:hanging="360"/>
      </w:pPr>
      <w:rPr>
        <w:rFonts w:ascii="Times New Roman" w:hAnsi="Times New Roman" w:hint="default"/>
      </w:rPr>
    </w:lvl>
    <w:lvl w:ilvl="4" w:tplc="17E88640" w:tentative="1">
      <w:start w:val="1"/>
      <w:numFmt w:val="bullet"/>
      <w:lvlText w:val="–"/>
      <w:lvlJc w:val="left"/>
      <w:pPr>
        <w:tabs>
          <w:tab w:val="num" w:pos="3600"/>
        </w:tabs>
        <w:ind w:left="3600" w:hanging="360"/>
      </w:pPr>
      <w:rPr>
        <w:rFonts w:ascii="Times New Roman" w:hAnsi="Times New Roman" w:hint="default"/>
      </w:rPr>
    </w:lvl>
    <w:lvl w:ilvl="5" w:tplc="E97AB5EC" w:tentative="1">
      <w:start w:val="1"/>
      <w:numFmt w:val="bullet"/>
      <w:lvlText w:val="–"/>
      <w:lvlJc w:val="left"/>
      <w:pPr>
        <w:tabs>
          <w:tab w:val="num" w:pos="4320"/>
        </w:tabs>
        <w:ind w:left="4320" w:hanging="360"/>
      </w:pPr>
      <w:rPr>
        <w:rFonts w:ascii="Times New Roman" w:hAnsi="Times New Roman" w:hint="default"/>
      </w:rPr>
    </w:lvl>
    <w:lvl w:ilvl="6" w:tplc="D6449502" w:tentative="1">
      <w:start w:val="1"/>
      <w:numFmt w:val="bullet"/>
      <w:lvlText w:val="–"/>
      <w:lvlJc w:val="left"/>
      <w:pPr>
        <w:tabs>
          <w:tab w:val="num" w:pos="5040"/>
        </w:tabs>
        <w:ind w:left="5040" w:hanging="360"/>
      </w:pPr>
      <w:rPr>
        <w:rFonts w:ascii="Times New Roman" w:hAnsi="Times New Roman" w:hint="default"/>
      </w:rPr>
    </w:lvl>
    <w:lvl w:ilvl="7" w:tplc="F26813F0" w:tentative="1">
      <w:start w:val="1"/>
      <w:numFmt w:val="bullet"/>
      <w:lvlText w:val="–"/>
      <w:lvlJc w:val="left"/>
      <w:pPr>
        <w:tabs>
          <w:tab w:val="num" w:pos="5760"/>
        </w:tabs>
        <w:ind w:left="5760" w:hanging="360"/>
      </w:pPr>
      <w:rPr>
        <w:rFonts w:ascii="Times New Roman" w:hAnsi="Times New Roman" w:hint="default"/>
      </w:rPr>
    </w:lvl>
    <w:lvl w:ilvl="8" w:tplc="35C04E5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EF27E6C"/>
    <w:multiLevelType w:val="hybridMultilevel"/>
    <w:tmpl w:val="11B00386"/>
    <w:lvl w:ilvl="0" w:tplc="A086DADC">
      <w:start w:val="1"/>
      <w:numFmt w:val="decimal"/>
      <w:lvlText w:val="%1."/>
      <w:lvlJc w:val="left"/>
      <w:pPr>
        <w:ind w:left="720" w:hanging="360"/>
      </w:pPr>
      <w:rPr>
        <w:rFonts w:asciiTheme="minorHAnsi" w:hAnsiTheme="minorHAnsi"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9D3226"/>
    <w:multiLevelType w:val="hybridMultilevel"/>
    <w:tmpl w:val="460800BE"/>
    <w:lvl w:ilvl="0" w:tplc="F5D80906">
      <w:start w:val="1"/>
      <w:numFmt w:val="bullet"/>
      <w:lvlText w:val="•"/>
      <w:lvlJc w:val="left"/>
      <w:pPr>
        <w:tabs>
          <w:tab w:val="num" w:pos="720"/>
        </w:tabs>
        <w:ind w:left="720" w:hanging="360"/>
      </w:pPr>
      <w:rPr>
        <w:rFonts w:ascii="Arial" w:hAnsi="Arial" w:hint="default"/>
      </w:rPr>
    </w:lvl>
    <w:lvl w:ilvl="1" w:tplc="9586CA8A" w:tentative="1">
      <w:start w:val="1"/>
      <w:numFmt w:val="bullet"/>
      <w:lvlText w:val="•"/>
      <w:lvlJc w:val="left"/>
      <w:pPr>
        <w:tabs>
          <w:tab w:val="num" w:pos="1440"/>
        </w:tabs>
        <w:ind w:left="1440" w:hanging="360"/>
      </w:pPr>
      <w:rPr>
        <w:rFonts w:ascii="Arial" w:hAnsi="Arial" w:hint="default"/>
      </w:rPr>
    </w:lvl>
    <w:lvl w:ilvl="2" w:tplc="CC849652" w:tentative="1">
      <w:start w:val="1"/>
      <w:numFmt w:val="bullet"/>
      <w:lvlText w:val="•"/>
      <w:lvlJc w:val="left"/>
      <w:pPr>
        <w:tabs>
          <w:tab w:val="num" w:pos="2160"/>
        </w:tabs>
        <w:ind w:left="2160" w:hanging="360"/>
      </w:pPr>
      <w:rPr>
        <w:rFonts w:ascii="Arial" w:hAnsi="Arial" w:hint="default"/>
      </w:rPr>
    </w:lvl>
    <w:lvl w:ilvl="3" w:tplc="56DE1CD8" w:tentative="1">
      <w:start w:val="1"/>
      <w:numFmt w:val="bullet"/>
      <w:lvlText w:val="•"/>
      <w:lvlJc w:val="left"/>
      <w:pPr>
        <w:tabs>
          <w:tab w:val="num" w:pos="2880"/>
        </w:tabs>
        <w:ind w:left="2880" w:hanging="360"/>
      </w:pPr>
      <w:rPr>
        <w:rFonts w:ascii="Arial" w:hAnsi="Arial" w:hint="default"/>
      </w:rPr>
    </w:lvl>
    <w:lvl w:ilvl="4" w:tplc="E6F60E92" w:tentative="1">
      <w:start w:val="1"/>
      <w:numFmt w:val="bullet"/>
      <w:lvlText w:val="•"/>
      <w:lvlJc w:val="left"/>
      <w:pPr>
        <w:tabs>
          <w:tab w:val="num" w:pos="3600"/>
        </w:tabs>
        <w:ind w:left="3600" w:hanging="360"/>
      </w:pPr>
      <w:rPr>
        <w:rFonts w:ascii="Arial" w:hAnsi="Arial" w:hint="default"/>
      </w:rPr>
    </w:lvl>
    <w:lvl w:ilvl="5" w:tplc="6FB25984" w:tentative="1">
      <w:start w:val="1"/>
      <w:numFmt w:val="bullet"/>
      <w:lvlText w:val="•"/>
      <w:lvlJc w:val="left"/>
      <w:pPr>
        <w:tabs>
          <w:tab w:val="num" w:pos="4320"/>
        </w:tabs>
        <w:ind w:left="4320" w:hanging="360"/>
      </w:pPr>
      <w:rPr>
        <w:rFonts w:ascii="Arial" w:hAnsi="Arial" w:hint="default"/>
      </w:rPr>
    </w:lvl>
    <w:lvl w:ilvl="6" w:tplc="A3F211F4" w:tentative="1">
      <w:start w:val="1"/>
      <w:numFmt w:val="bullet"/>
      <w:lvlText w:val="•"/>
      <w:lvlJc w:val="left"/>
      <w:pPr>
        <w:tabs>
          <w:tab w:val="num" w:pos="5040"/>
        </w:tabs>
        <w:ind w:left="5040" w:hanging="360"/>
      </w:pPr>
      <w:rPr>
        <w:rFonts w:ascii="Arial" w:hAnsi="Arial" w:hint="default"/>
      </w:rPr>
    </w:lvl>
    <w:lvl w:ilvl="7" w:tplc="052241BA" w:tentative="1">
      <w:start w:val="1"/>
      <w:numFmt w:val="bullet"/>
      <w:lvlText w:val="•"/>
      <w:lvlJc w:val="left"/>
      <w:pPr>
        <w:tabs>
          <w:tab w:val="num" w:pos="5760"/>
        </w:tabs>
        <w:ind w:left="5760" w:hanging="360"/>
      </w:pPr>
      <w:rPr>
        <w:rFonts w:ascii="Arial" w:hAnsi="Arial" w:hint="default"/>
      </w:rPr>
    </w:lvl>
    <w:lvl w:ilvl="8" w:tplc="C7DCDE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0A4329"/>
    <w:multiLevelType w:val="hybridMultilevel"/>
    <w:tmpl w:val="77EAD6C0"/>
    <w:lvl w:ilvl="0" w:tplc="08BA2FF0">
      <w:start w:val="1"/>
      <w:numFmt w:val="bullet"/>
      <w:lvlText w:val="•"/>
      <w:lvlJc w:val="left"/>
      <w:pPr>
        <w:tabs>
          <w:tab w:val="num" w:pos="720"/>
        </w:tabs>
        <w:ind w:left="720" w:hanging="360"/>
      </w:pPr>
      <w:rPr>
        <w:rFonts w:ascii="Arial" w:hAnsi="Arial" w:hint="default"/>
      </w:rPr>
    </w:lvl>
    <w:lvl w:ilvl="1" w:tplc="76A074C4" w:tentative="1">
      <w:start w:val="1"/>
      <w:numFmt w:val="bullet"/>
      <w:lvlText w:val="•"/>
      <w:lvlJc w:val="left"/>
      <w:pPr>
        <w:tabs>
          <w:tab w:val="num" w:pos="1440"/>
        </w:tabs>
        <w:ind w:left="1440" w:hanging="360"/>
      </w:pPr>
      <w:rPr>
        <w:rFonts w:ascii="Arial" w:hAnsi="Arial" w:hint="default"/>
      </w:rPr>
    </w:lvl>
    <w:lvl w:ilvl="2" w:tplc="E9EA6560" w:tentative="1">
      <w:start w:val="1"/>
      <w:numFmt w:val="bullet"/>
      <w:lvlText w:val="•"/>
      <w:lvlJc w:val="left"/>
      <w:pPr>
        <w:tabs>
          <w:tab w:val="num" w:pos="2160"/>
        </w:tabs>
        <w:ind w:left="2160" w:hanging="360"/>
      </w:pPr>
      <w:rPr>
        <w:rFonts w:ascii="Arial" w:hAnsi="Arial" w:hint="default"/>
      </w:rPr>
    </w:lvl>
    <w:lvl w:ilvl="3" w:tplc="9FAAD586" w:tentative="1">
      <w:start w:val="1"/>
      <w:numFmt w:val="bullet"/>
      <w:lvlText w:val="•"/>
      <w:lvlJc w:val="left"/>
      <w:pPr>
        <w:tabs>
          <w:tab w:val="num" w:pos="2880"/>
        </w:tabs>
        <w:ind w:left="2880" w:hanging="360"/>
      </w:pPr>
      <w:rPr>
        <w:rFonts w:ascii="Arial" w:hAnsi="Arial" w:hint="default"/>
      </w:rPr>
    </w:lvl>
    <w:lvl w:ilvl="4" w:tplc="2C680162" w:tentative="1">
      <w:start w:val="1"/>
      <w:numFmt w:val="bullet"/>
      <w:lvlText w:val="•"/>
      <w:lvlJc w:val="left"/>
      <w:pPr>
        <w:tabs>
          <w:tab w:val="num" w:pos="3600"/>
        </w:tabs>
        <w:ind w:left="3600" w:hanging="360"/>
      </w:pPr>
      <w:rPr>
        <w:rFonts w:ascii="Arial" w:hAnsi="Arial" w:hint="default"/>
      </w:rPr>
    </w:lvl>
    <w:lvl w:ilvl="5" w:tplc="58647AEE" w:tentative="1">
      <w:start w:val="1"/>
      <w:numFmt w:val="bullet"/>
      <w:lvlText w:val="•"/>
      <w:lvlJc w:val="left"/>
      <w:pPr>
        <w:tabs>
          <w:tab w:val="num" w:pos="4320"/>
        </w:tabs>
        <w:ind w:left="4320" w:hanging="360"/>
      </w:pPr>
      <w:rPr>
        <w:rFonts w:ascii="Arial" w:hAnsi="Arial" w:hint="default"/>
      </w:rPr>
    </w:lvl>
    <w:lvl w:ilvl="6" w:tplc="975C12E0" w:tentative="1">
      <w:start w:val="1"/>
      <w:numFmt w:val="bullet"/>
      <w:lvlText w:val="•"/>
      <w:lvlJc w:val="left"/>
      <w:pPr>
        <w:tabs>
          <w:tab w:val="num" w:pos="5040"/>
        </w:tabs>
        <w:ind w:left="5040" w:hanging="360"/>
      </w:pPr>
      <w:rPr>
        <w:rFonts w:ascii="Arial" w:hAnsi="Arial" w:hint="default"/>
      </w:rPr>
    </w:lvl>
    <w:lvl w:ilvl="7" w:tplc="7724FF52" w:tentative="1">
      <w:start w:val="1"/>
      <w:numFmt w:val="bullet"/>
      <w:lvlText w:val="•"/>
      <w:lvlJc w:val="left"/>
      <w:pPr>
        <w:tabs>
          <w:tab w:val="num" w:pos="5760"/>
        </w:tabs>
        <w:ind w:left="5760" w:hanging="360"/>
      </w:pPr>
      <w:rPr>
        <w:rFonts w:ascii="Arial" w:hAnsi="Arial" w:hint="default"/>
      </w:rPr>
    </w:lvl>
    <w:lvl w:ilvl="8" w:tplc="7C2E57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94D245E"/>
    <w:multiLevelType w:val="hybridMultilevel"/>
    <w:tmpl w:val="A50C2B02"/>
    <w:lvl w:ilvl="0" w:tplc="779C26A6">
      <w:start w:val="1"/>
      <w:numFmt w:val="lowerRoman"/>
      <w:lvlText w:val="%1."/>
      <w:lvlJc w:val="right"/>
      <w:pPr>
        <w:tabs>
          <w:tab w:val="num" w:pos="720"/>
        </w:tabs>
        <w:ind w:left="720" w:hanging="360"/>
      </w:pPr>
    </w:lvl>
    <w:lvl w:ilvl="1" w:tplc="3CA01C14">
      <w:start w:val="1"/>
      <w:numFmt w:val="lowerRoman"/>
      <w:lvlText w:val="%2."/>
      <w:lvlJc w:val="right"/>
      <w:pPr>
        <w:tabs>
          <w:tab w:val="num" w:pos="1440"/>
        </w:tabs>
        <w:ind w:left="1440" w:hanging="360"/>
      </w:pPr>
    </w:lvl>
    <w:lvl w:ilvl="2" w:tplc="8E062376" w:tentative="1">
      <w:start w:val="1"/>
      <w:numFmt w:val="lowerRoman"/>
      <w:lvlText w:val="%3."/>
      <w:lvlJc w:val="right"/>
      <w:pPr>
        <w:tabs>
          <w:tab w:val="num" w:pos="2160"/>
        </w:tabs>
        <w:ind w:left="2160" w:hanging="360"/>
      </w:pPr>
    </w:lvl>
    <w:lvl w:ilvl="3" w:tplc="CE0664CA" w:tentative="1">
      <w:start w:val="1"/>
      <w:numFmt w:val="lowerRoman"/>
      <w:lvlText w:val="%4."/>
      <w:lvlJc w:val="right"/>
      <w:pPr>
        <w:tabs>
          <w:tab w:val="num" w:pos="2880"/>
        </w:tabs>
        <w:ind w:left="2880" w:hanging="360"/>
      </w:pPr>
    </w:lvl>
    <w:lvl w:ilvl="4" w:tplc="05F28294" w:tentative="1">
      <w:start w:val="1"/>
      <w:numFmt w:val="lowerRoman"/>
      <w:lvlText w:val="%5."/>
      <w:lvlJc w:val="right"/>
      <w:pPr>
        <w:tabs>
          <w:tab w:val="num" w:pos="3600"/>
        </w:tabs>
        <w:ind w:left="3600" w:hanging="360"/>
      </w:pPr>
    </w:lvl>
    <w:lvl w:ilvl="5" w:tplc="037CE5D8" w:tentative="1">
      <w:start w:val="1"/>
      <w:numFmt w:val="lowerRoman"/>
      <w:lvlText w:val="%6."/>
      <w:lvlJc w:val="right"/>
      <w:pPr>
        <w:tabs>
          <w:tab w:val="num" w:pos="4320"/>
        </w:tabs>
        <w:ind w:left="4320" w:hanging="360"/>
      </w:pPr>
    </w:lvl>
    <w:lvl w:ilvl="6" w:tplc="236E8DEE" w:tentative="1">
      <w:start w:val="1"/>
      <w:numFmt w:val="lowerRoman"/>
      <w:lvlText w:val="%7."/>
      <w:lvlJc w:val="right"/>
      <w:pPr>
        <w:tabs>
          <w:tab w:val="num" w:pos="5040"/>
        </w:tabs>
        <w:ind w:left="5040" w:hanging="360"/>
      </w:pPr>
    </w:lvl>
    <w:lvl w:ilvl="7" w:tplc="7AA6C4FE" w:tentative="1">
      <w:start w:val="1"/>
      <w:numFmt w:val="lowerRoman"/>
      <w:lvlText w:val="%8."/>
      <w:lvlJc w:val="right"/>
      <w:pPr>
        <w:tabs>
          <w:tab w:val="num" w:pos="5760"/>
        </w:tabs>
        <w:ind w:left="5760" w:hanging="360"/>
      </w:pPr>
    </w:lvl>
    <w:lvl w:ilvl="8" w:tplc="C41C1D6E" w:tentative="1">
      <w:start w:val="1"/>
      <w:numFmt w:val="lowerRoman"/>
      <w:lvlText w:val="%9."/>
      <w:lvlJc w:val="right"/>
      <w:pPr>
        <w:tabs>
          <w:tab w:val="num" w:pos="6480"/>
        </w:tabs>
        <w:ind w:left="6480" w:hanging="360"/>
      </w:pPr>
    </w:lvl>
  </w:abstractNum>
  <w:abstractNum w:abstractNumId="10" w15:restartNumberingAfterBreak="0">
    <w:nsid w:val="5D183331"/>
    <w:multiLevelType w:val="hybridMultilevel"/>
    <w:tmpl w:val="46F0CEF8"/>
    <w:lvl w:ilvl="0" w:tplc="7530343C">
      <w:start w:val="1"/>
      <w:numFmt w:val="lowerLetter"/>
      <w:lvlText w:val="%1."/>
      <w:lvlJc w:val="left"/>
      <w:pPr>
        <w:tabs>
          <w:tab w:val="num" w:pos="720"/>
        </w:tabs>
        <w:ind w:left="720" w:hanging="360"/>
      </w:pPr>
    </w:lvl>
    <w:lvl w:ilvl="1" w:tplc="6B1EBFE4">
      <w:start w:val="1"/>
      <w:numFmt w:val="lowerLetter"/>
      <w:lvlText w:val="%2."/>
      <w:lvlJc w:val="left"/>
      <w:pPr>
        <w:tabs>
          <w:tab w:val="num" w:pos="1440"/>
        </w:tabs>
        <w:ind w:left="1440" w:hanging="360"/>
      </w:pPr>
    </w:lvl>
    <w:lvl w:ilvl="2" w:tplc="0CB0F882" w:tentative="1">
      <w:start w:val="1"/>
      <w:numFmt w:val="lowerLetter"/>
      <w:lvlText w:val="%3."/>
      <w:lvlJc w:val="left"/>
      <w:pPr>
        <w:tabs>
          <w:tab w:val="num" w:pos="2160"/>
        </w:tabs>
        <w:ind w:left="2160" w:hanging="360"/>
      </w:pPr>
    </w:lvl>
    <w:lvl w:ilvl="3" w:tplc="47BED1F4" w:tentative="1">
      <w:start w:val="1"/>
      <w:numFmt w:val="lowerLetter"/>
      <w:lvlText w:val="%4."/>
      <w:lvlJc w:val="left"/>
      <w:pPr>
        <w:tabs>
          <w:tab w:val="num" w:pos="2880"/>
        </w:tabs>
        <w:ind w:left="2880" w:hanging="360"/>
      </w:pPr>
    </w:lvl>
    <w:lvl w:ilvl="4" w:tplc="21A2A06A" w:tentative="1">
      <w:start w:val="1"/>
      <w:numFmt w:val="lowerLetter"/>
      <w:lvlText w:val="%5."/>
      <w:lvlJc w:val="left"/>
      <w:pPr>
        <w:tabs>
          <w:tab w:val="num" w:pos="3600"/>
        </w:tabs>
        <w:ind w:left="3600" w:hanging="360"/>
      </w:pPr>
    </w:lvl>
    <w:lvl w:ilvl="5" w:tplc="AD66D78C" w:tentative="1">
      <w:start w:val="1"/>
      <w:numFmt w:val="lowerLetter"/>
      <w:lvlText w:val="%6."/>
      <w:lvlJc w:val="left"/>
      <w:pPr>
        <w:tabs>
          <w:tab w:val="num" w:pos="4320"/>
        </w:tabs>
        <w:ind w:left="4320" w:hanging="360"/>
      </w:pPr>
    </w:lvl>
    <w:lvl w:ilvl="6" w:tplc="A9687850" w:tentative="1">
      <w:start w:val="1"/>
      <w:numFmt w:val="lowerLetter"/>
      <w:lvlText w:val="%7."/>
      <w:lvlJc w:val="left"/>
      <w:pPr>
        <w:tabs>
          <w:tab w:val="num" w:pos="5040"/>
        </w:tabs>
        <w:ind w:left="5040" w:hanging="360"/>
      </w:pPr>
    </w:lvl>
    <w:lvl w:ilvl="7" w:tplc="F1A4A140" w:tentative="1">
      <w:start w:val="1"/>
      <w:numFmt w:val="lowerLetter"/>
      <w:lvlText w:val="%8."/>
      <w:lvlJc w:val="left"/>
      <w:pPr>
        <w:tabs>
          <w:tab w:val="num" w:pos="5760"/>
        </w:tabs>
        <w:ind w:left="5760" w:hanging="360"/>
      </w:pPr>
    </w:lvl>
    <w:lvl w:ilvl="8" w:tplc="99A00E74" w:tentative="1">
      <w:start w:val="1"/>
      <w:numFmt w:val="lowerLetter"/>
      <w:lvlText w:val="%9."/>
      <w:lvlJc w:val="left"/>
      <w:pPr>
        <w:tabs>
          <w:tab w:val="num" w:pos="6480"/>
        </w:tabs>
        <w:ind w:left="6480" w:hanging="360"/>
      </w:pPr>
    </w:lvl>
  </w:abstractNum>
  <w:abstractNum w:abstractNumId="11" w15:restartNumberingAfterBreak="0">
    <w:nsid w:val="624F481B"/>
    <w:multiLevelType w:val="hybridMultilevel"/>
    <w:tmpl w:val="E9D42064"/>
    <w:lvl w:ilvl="0" w:tplc="EBCEFE02">
      <w:start w:val="1"/>
      <w:numFmt w:val="bullet"/>
      <w:lvlText w:val="•"/>
      <w:lvlJc w:val="left"/>
      <w:pPr>
        <w:tabs>
          <w:tab w:val="num" w:pos="720"/>
        </w:tabs>
        <w:ind w:left="720" w:hanging="360"/>
      </w:pPr>
      <w:rPr>
        <w:rFonts w:ascii="Times New Roman" w:hAnsi="Times New Roman" w:hint="default"/>
      </w:rPr>
    </w:lvl>
    <w:lvl w:ilvl="1" w:tplc="39E809DC" w:tentative="1">
      <w:start w:val="1"/>
      <w:numFmt w:val="bullet"/>
      <w:lvlText w:val="•"/>
      <w:lvlJc w:val="left"/>
      <w:pPr>
        <w:tabs>
          <w:tab w:val="num" w:pos="1440"/>
        </w:tabs>
        <w:ind w:left="1440" w:hanging="360"/>
      </w:pPr>
      <w:rPr>
        <w:rFonts w:ascii="Times New Roman" w:hAnsi="Times New Roman" w:hint="default"/>
      </w:rPr>
    </w:lvl>
    <w:lvl w:ilvl="2" w:tplc="C164A3AC" w:tentative="1">
      <w:start w:val="1"/>
      <w:numFmt w:val="bullet"/>
      <w:lvlText w:val="•"/>
      <w:lvlJc w:val="left"/>
      <w:pPr>
        <w:tabs>
          <w:tab w:val="num" w:pos="2160"/>
        </w:tabs>
        <w:ind w:left="2160" w:hanging="360"/>
      </w:pPr>
      <w:rPr>
        <w:rFonts w:ascii="Times New Roman" w:hAnsi="Times New Roman" w:hint="default"/>
      </w:rPr>
    </w:lvl>
    <w:lvl w:ilvl="3" w:tplc="776041B4" w:tentative="1">
      <w:start w:val="1"/>
      <w:numFmt w:val="bullet"/>
      <w:lvlText w:val="•"/>
      <w:lvlJc w:val="left"/>
      <w:pPr>
        <w:tabs>
          <w:tab w:val="num" w:pos="2880"/>
        </w:tabs>
        <w:ind w:left="2880" w:hanging="360"/>
      </w:pPr>
      <w:rPr>
        <w:rFonts w:ascii="Times New Roman" w:hAnsi="Times New Roman" w:hint="default"/>
      </w:rPr>
    </w:lvl>
    <w:lvl w:ilvl="4" w:tplc="1DAA6D3A" w:tentative="1">
      <w:start w:val="1"/>
      <w:numFmt w:val="bullet"/>
      <w:lvlText w:val="•"/>
      <w:lvlJc w:val="left"/>
      <w:pPr>
        <w:tabs>
          <w:tab w:val="num" w:pos="3600"/>
        </w:tabs>
        <w:ind w:left="3600" w:hanging="360"/>
      </w:pPr>
      <w:rPr>
        <w:rFonts w:ascii="Times New Roman" w:hAnsi="Times New Roman" w:hint="default"/>
      </w:rPr>
    </w:lvl>
    <w:lvl w:ilvl="5" w:tplc="A41C3292" w:tentative="1">
      <w:start w:val="1"/>
      <w:numFmt w:val="bullet"/>
      <w:lvlText w:val="•"/>
      <w:lvlJc w:val="left"/>
      <w:pPr>
        <w:tabs>
          <w:tab w:val="num" w:pos="4320"/>
        </w:tabs>
        <w:ind w:left="4320" w:hanging="360"/>
      </w:pPr>
      <w:rPr>
        <w:rFonts w:ascii="Times New Roman" w:hAnsi="Times New Roman" w:hint="default"/>
      </w:rPr>
    </w:lvl>
    <w:lvl w:ilvl="6" w:tplc="75EA0246" w:tentative="1">
      <w:start w:val="1"/>
      <w:numFmt w:val="bullet"/>
      <w:lvlText w:val="•"/>
      <w:lvlJc w:val="left"/>
      <w:pPr>
        <w:tabs>
          <w:tab w:val="num" w:pos="5040"/>
        </w:tabs>
        <w:ind w:left="5040" w:hanging="360"/>
      </w:pPr>
      <w:rPr>
        <w:rFonts w:ascii="Times New Roman" w:hAnsi="Times New Roman" w:hint="default"/>
      </w:rPr>
    </w:lvl>
    <w:lvl w:ilvl="7" w:tplc="AD481DD0" w:tentative="1">
      <w:start w:val="1"/>
      <w:numFmt w:val="bullet"/>
      <w:lvlText w:val="•"/>
      <w:lvlJc w:val="left"/>
      <w:pPr>
        <w:tabs>
          <w:tab w:val="num" w:pos="5760"/>
        </w:tabs>
        <w:ind w:left="5760" w:hanging="360"/>
      </w:pPr>
      <w:rPr>
        <w:rFonts w:ascii="Times New Roman" w:hAnsi="Times New Roman" w:hint="default"/>
      </w:rPr>
    </w:lvl>
    <w:lvl w:ilvl="8" w:tplc="0382144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9314431"/>
    <w:multiLevelType w:val="hybridMultilevel"/>
    <w:tmpl w:val="9CE2FE3E"/>
    <w:lvl w:ilvl="0" w:tplc="43A47A90">
      <w:start w:val="1"/>
      <w:numFmt w:val="bullet"/>
      <w:lvlText w:val="•"/>
      <w:lvlJc w:val="left"/>
      <w:pPr>
        <w:tabs>
          <w:tab w:val="num" w:pos="720"/>
        </w:tabs>
        <w:ind w:left="720" w:hanging="360"/>
      </w:pPr>
      <w:rPr>
        <w:rFonts w:ascii="Times New Roman" w:hAnsi="Times New Roman" w:hint="default"/>
      </w:rPr>
    </w:lvl>
    <w:lvl w:ilvl="1" w:tplc="832A5000" w:tentative="1">
      <w:start w:val="1"/>
      <w:numFmt w:val="bullet"/>
      <w:lvlText w:val="•"/>
      <w:lvlJc w:val="left"/>
      <w:pPr>
        <w:tabs>
          <w:tab w:val="num" w:pos="1440"/>
        </w:tabs>
        <w:ind w:left="1440" w:hanging="360"/>
      </w:pPr>
      <w:rPr>
        <w:rFonts w:ascii="Times New Roman" w:hAnsi="Times New Roman" w:hint="default"/>
      </w:rPr>
    </w:lvl>
    <w:lvl w:ilvl="2" w:tplc="7B7A5D40" w:tentative="1">
      <w:start w:val="1"/>
      <w:numFmt w:val="bullet"/>
      <w:lvlText w:val="•"/>
      <w:lvlJc w:val="left"/>
      <w:pPr>
        <w:tabs>
          <w:tab w:val="num" w:pos="2160"/>
        </w:tabs>
        <w:ind w:left="2160" w:hanging="360"/>
      </w:pPr>
      <w:rPr>
        <w:rFonts w:ascii="Times New Roman" w:hAnsi="Times New Roman" w:hint="default"/>
      </w:rPr>
    </w:lvl>
    <w:lvl w:ilvl="3" w:tplc="DC4E1ED6" w:tentative="1">
      <w:start w:val="1"/>
      <w:numFmt w:val="bullet"/>
      <w:lvlText w:val="•"/>
      <w:lvlJc w:val="left"/>
      <w:pPr>
        <w:tabs>
          <w:tab w:val="num" w:pos="2880"/>
        </w:tabs>
        <w:ind w:left="2880" w:hanging="360"/>
      </w:pPr>
      <w:rPr>
        <w:rFonts w:ascii="Times New Roman" w:hAnsi="Times New Roman" w:hint="default"/>
      </w:rPr>
    </w:lvl>
    <w:lvl w:ilvl="4" w:tplc="50EA8286" w:tentative="1">
      <w:start w:val="1"/>
      <w:numFmt w:val="bullet"/>
      <w:lvlText w:val="•"/>
      <w:lvlJc w:val="left"/>
      <w:pPr>
        <w:tabs>
          <w:tab w:val="num" w:pos="3600"/>
        </w:tabs>
        <w:ind w:left="3600" w:hanging="360"/>
      </w:pPr>
      <w:rPr>
        <w:rFonts w:ascii="Times New Roman" w:hAnsi="Times New Roman" w:hint="default"/>
      </w:rPr>
    </w:lvl>
    <w:lvl w:ilvl="5" w:tplc="EFA8944E" w:tentative="1">
      <w:start w:val="1"/>
      <w:numFmt w:val="bullet"/>
      <w:lvlText w:val="•"/>
      <w:lvlJc w:val="left"/>
      <w:pPr>
        <w:tabs>
          <w:tab w:val="num" w:pos="4320"/>
        </w:tabs>
        <w:ind w:left="4320" w:hanging="360"/>
      </w:pPr>
      <w:rPr>
        <w:rFonts w:ascii="Times New Roman" w:hAnsi="Times New Roman" w:hint="default"/>
      </w:rPr>
    </w:lvl>
    <w:lvl w:ilvl="6" w:tplc="1430BBCC" w:tentative="1">
      <w:start w:val="1"/>
      <w:numFmt w:val="bullet"/>
      <w:lvlText w:val="•"/>
      <w:lvlJc w:val="left"/>
      <w:pPr>
        <w:tabs>
          <w:tab w:val="num" w:pos="5040"/>
        </w:tabs>
        <w:ind w:left="5040" w:hanging="360"/>
      </w:pPr>
      <w:rPr>
        <w:rFonts w:ascii="Times New Roman" w:hAnsi="Times New Roman" w:hint="default"/>
      </w:rPr>
    </w:lvl>
    <w:lvl w:ilvl="7" w:tplc="11507FFA" w:tentative="1">
      <w:start w:val="1"/>
      <w:numFmt w:val="bullet"/>
      <w:lvlText w:val="•"/>
      <w:lvlJc w:val="left"/>
      <w:pPr>
        <w:tabs>
          <w:tab w:val="num" w:pos="5760"/>
        </w:tabs>
        <w:ind w:left="5760" w:hanging="360"/>
      </w:pPr>
      <w:rPr>
        <w:rFonts w:ascii="Times New Roman" w:hAnsi="Times New Roman" w:hint="default"/>
      </w:rPr>
    </w:lvl>
    <w:lvl w:ilvl="8" w:tplc="08F037F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BA9786E"/>
    <w:multiLevelType w:val="hybridMultilevel"/>
    <w:tmpl w:val="E9BA2D2E"/>
    <w:lvl w:ilvl="0" w:tplc="B05649A6">
      <w:start w:val="1"/>
      <w:numFmt w:val="bullet"/>
      <w:lvlText w:val="•"/>
      <w:lvlJc w:val="left"/>
      <w:pPr>
        <w:tabs>
          <w:tab w:val="num" w:pos="720"/>
        </w:tabs>
        <w:ind w:left="720" w:hanging="360"/>
      </w:pPr>
      <w:rPr>
        <w:rFonts w:ascii="Times New Roman" w:hAnsi="Times New Roman" w:hint="default"/>
      </w:rPr>
    </w:lvl>
    <w:lvl w:ilvl="1" w:tplc="DEF4BD5A" w:tentative="1">
      <w:start w:val="1"/>
      <w:numFmt w:val="bullet"/>
      <w:lvlText w:val="•"/>
      <w:lvlJc w:val="left"/>
      <w:pPr>
        <w:tabs>
          <w:tab w:val="num" w:pos="1440"/>
        </w:tabs>
        <w:ind w:left="1440" w:hanging="360"/>
      </w:pPr>
      <w:rPr>
        <w:rFonts w:ascii="Times New Roman" w:hAnsi="Times New Roman" w:hint="default"/>
      </w:rPr>
    </w:lvl>
    <w:lvl w:ilvl="2" w:tplc="D6121364">
      <w:start w:val="1"/>
      <w:numFmt w:val="bullet"/>
      <w:lvlText w:val="•"/>
      <w:lvlJc w:val="left"/>
      <w:pPr>
        <w:tabs>
          <w:tab w:val="num" w:pos="2160"/>
        </w:tabs>
        <w:ind w:left="2160" w:hanging="360"/>
      </w:pPr>
      <w:rPr>
        <w:rFonts w:ascii="Times New Roman" w:hAnsi="Times New Roman" w:hint="default"/>
      </w:rPr>
    </w:lvl>
    <w:lvl w:ilvl="3" w:tplc="2228C35A">
      <w:start w:val="1466"/>
      <w:numFmt w:val="bullet"/>
      <w:lvlText w:val="–"/>
      <w:lvlJc w:val="left"/>
      <w:pPr>
        <w:tabs>
          <w:tab w:val="num" w:pos="2880"/>
        </w:tabs>
        <w:ind w:left="2880" w:hanging="360"/>
      </w:pPr>
      <w:rPr>
        <w:rFonts w:ascii="Times New Roman" w:hAnsi="Times New Roman" w:hint="default"/>
      </w:rPr>
    </w:lvl>
    <w:lvl w:ilvl="4" w:tplc="FC1A2622" w:tentative="1">
      <w:start w:val="1"/>
      <w:numFmt w:val="bullet"/>
      <w:lvlText w:val="•"/>
      <w:lvlJc w:val="left"/>
      <w:pPr>
        <w:tabs>
          <w:tab w:val="num" w:pos="3600"/>
        </w:tabs>
        <w:ind w:left="3600" w:hanging="360"/>
      </w:pPr>
      <w:rPr>
        <w:rFonts w:ascii="Times New Roman" w:hAnsi="Times New Roman" w:hint="default"/>
      </w:rPr>
    </w:lvl>
    <w:lvl w:ilvl="5" w:tplc="411AFA9E" w:tentative="1">
      <w:start w:val="1"/>
      <w:numFmt w:val="bullet"/>
      <w:lvlText w:val="•"/>
      <w:lvlJc w:val="left"/>
      <w:pPr>
        <w:tabs>
          <w:tab w:val="num" w:pos="4320"/>
        </w:tabs>
        <w:ind w:left="4320" w:hanging="360"/>
      </w:pPr>
      <w:rPr>
        <w:rFonts w:ascii="Times New Roman" w:hAnsi="Times New Roman" w:hint="default"/>
      </w:rPr>
    </w:lvl>
    <w:lvl w:ilvl="6" w:tplc="00E0DE7A" w:tentative="1">
      <w:start w:val="1"/>
      <w:numFmt w:val="bullet"/>
      <w:lvlText w:val="•"/>
      <w:lvlJc w:val="left"/>
      <w:pPr>
        <w:tabs>
          <w:tab w:val="num" w:pos="5040"/>
        </w:tabs>
        <w:ind w:left="5040" w:hanging="360"/>
      </w:pPr>
      <w:rPr>
        <w:rFonts w:ascii="Times New Roman" w:hAnsi="Times New Roman" w:hint="default"/>
      </w:rPr>
    </w:lvl>
    <w:lvl w:ilvl="7" w:tplc="6CC0A3AC" w:tentative="1">
      <w:start w:val="1"/>
      <w:numFmt w:val="bullet"/>
      <w:lvlText w:val="•"/>
      <w:lvlJc w:val="left"/>
      <w:pPr>
        <w:tabs>
          <w:tab w:val="num" w:pos="5760"/>
        </w:tabs>
        <w:ind w:left="5760" w:hanging="360"/>
      </w:pPr>
      <w:rPr>
        <w:rFonts w:ascii="Times New Roman" w:hAnsi="Times New Roman" w:hint="default"/>
      </w:rPr>
    </w:lvl>
    <w:lvl w:ilvl="8" w:tplc="9A98428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6"/>
  </w:num>
  <w:num w:numId="3">
    <w:abstractNumId w:val="12"/>
  </w:num>
  <w:num w:numId="4">
    <w:abstractNumId w:val="11"/>
  </w:num>
  <w:num w:numId="5">
    <w:abstractNumId w:val="3"/>
  </w:num>
  <w:num w:numId="6">
    <w:abstractNumId w:val="10"/>
  </w:num>
  <w:num w:numId="7">
    <w:abstractNumId w:val="8"/>
  </w:num>
  <w:num w:numId="8">
    <w:abstractNumId w:val="9"/>
  </w:num>
  <w:num w:numId="9">
    <w:abstractNumId w:val="7"/>
  </w:num>
  <w:num w:numId="10">
    <w:abstractNumId w:val="5"/>
  </w:num>
  <w:num w:numId="11">
    <w:abstractNumId w:val="2"/>
  </w:num>
  <w:num w:numId="12">
    <w:abstractNumId w:val="1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4F"/>
    <w:rsid w:val="00060A4F"/>
    <w:rsid w:val="0012007D"/>
    <w:rsid w:val="00133051"/>
    <w:rsid w:val="00203D07"/>
    <w:rsid w:val="002B53EA"/>
    <w:rsid w:val="00345698"/>
    <w:rsid w:val="005147AB"/>
    <w:rsid w:val="00610751"/>
    <w:rsid w:val="0064407C"/>
    <w:rsid w:val="008A106A"/>
    <w:rsid w:val="00916DE2"/>
    <w:rsid w:val="009C2626"/>
    <w:rsid w:val="009F4F62"/>
    <w:rsid w:val="00A65711"/>
    <w:rsid w:val="00B72226"/>
    <w:rsid w:val="00B76788"/>
    <w:rsid w:val="00BA23FA"/>
    <w:rsid w:val="00CE3A7E"/>
    <w:rsid w:val="00D52D11"/>
    <w:rsid w:val="00E648ED"/>
    <w:rsid w:val="00EA0F7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B46F55-F312-454B-98FD-FCA99C4F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F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D11"/>
    <w:pPr>
      <w:tabs>
        <w:tab w:val="center" w:pos="4419"/>
        <w:tab w:val="right" w:pos="8838"/>
      </w:tabs>
    </w:pPr>
  </w:style>
  <w:style w:type="character" w:customStyle="1" w:styleId="EncabezadoCar">
    <w:name w:val="Encabezado Car"/>
    <w:basedOn w:val="Fuentedeprrafopredeter"/>
    <w:link w:val="Encabezado"/>
    <w:uiPriority w:val="99"/>
    <w:rsid w:val="00D52D11"/>
  </w:style>
  <w:style w:type="paragraph" w:styleId="Piedepgina">
    <w:name w:val="footer"/>
    <w:basedOn w:val="Normal"/>
    <w:link w:val="PiedepginaCar"/>
    <w:uiPriority w:val="99"/>
    <w:unhideWhenUsed/>
    <w:rsid w:val="00D52D11"/>
    <w:pPr>
      <w:tabs>
        <w:tab w:val="center" w:pos="4419"/>
        <w:tab w:val="right" w:pos="8838"/>
      </w:tabs>
    </w:pPr>
  </w:style>
  <w:style w:type="character" w:customStyle="1" w:styleId="PiedepginaCar">
    <w:name w:val="Pie de página Car"/>
    <w:basedOn w:val="Fuentedeprrafopredeter"/>
    <w:link w:val="Piedepgina"/>
    <w:uiPriority w:val="99"/>
    <w:rsid w:val="00D52D11"/>
  </w:style>
  <w:style w:type="paragraph" w:styleId="Prrafodelista">
    <w:name w:val="List Paragraph"/>
    <w:basedOn w:val="Normal"/>
    <w:uiPriority w:val="34"/>
    <w:qFormat/>
    <w:rsid w:val="00B72226"/>
    <w:pPr>
      <w:ind w:left="720"/>
      <w:contextualSpacing/>
    </w:pPr>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133051"/>
    <w:rPr>
      <w:rFonts w:ascii="Tahoma" w:hAnsi="Tahoma" w:cs="Tahoma"/>
      <w:sz w:val="16"/>
      <w:szCs w:val="16"/>
    </w:rPr>
  </w:style>
  <w:style w:type="character" w:customStyle="1" w:styleId="TextodegloboCar">
    <w:name w:val="Texto de globo Car"/>
    <w:basedOn w:val="Fuentedeprrafopredeter"/>
    <w:link w:val="Textodeglobo"/>
    <w:uiPriority w:val="99"/>
    <w:semiHidden/>
    <w:rsid w:val="00133051"/>
    <w:rPr>
      <w:rFonts w:ascii="Tahoma" w:hAnsi="Tahoma" w:cs="Tahoma"/>
      <w:sz w:val="16"/>
      <w:szCs w:val="16"/>
    </w:rPr>
  </w:style>
  <w:style w:type="paragraph" w:styleId="NormalWeb">
    <w:name w:val="Normal (Web)"/>
    <w:basedOn w:val="Normal"/>
    <w:uiPriority w:val="99"/>
    <w:semiHidden/>
    <w:unhideWhenUsed/>
    <w:rsid w:val="00345698"/>
    <w:pPr>
      <w:spacing w:before="100" w:beforeAutospacing="1" w:after="100" w:afterAutospacing="1"/>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3298">
      <w:bodyDiv w:val="1"/>
      <w:marLeft w:val="0"/>
      <w:marRight w:val="0"/>
      <w:marTop w:val="0"/>
      <w:marBottom w:val="0"/>
      <w:divBdr>
        <w:top w:val="none" w:sz="0" w:space="0" w:color="auto"/>
        <w:left w:val="none" w:sz="0" w:space="0" w:color="auto"/>
        <w:bottom w:val="none" w:sz="0" w:space="0" w:color="auto"/>
        <w:right w:val="none" w:sz="0" w:space="0" w:color="auto"/>
      </w:divBdr>
    </w:div>
    <w:div w:id="169878804">
      <w:bodyDiv w:val="1"/>
      <w:marLeft w:val="0"/>
      <w:marRight w:val="0"/>
      <w:marTop w:val="0"/>
      <w:marBottom w:val="0"/>
      <w:divBdr>
        <w:top w:val="none" w:sz="0" w:space="0" w:color="auto"/>
        <w:left w:val="none" w:sz="0" w:space="0" w:color="auto"/>
        <w:bottom w:val="none" w:sz="0" w:space="0" w:color="auto"/>
        <w:right w:val="none" w:sz="0" w:space="0" w:color="auto"/>
      </w:divBdr>
    </w:div>
    <w:div w:id="212621364">
      <w:bodyDiv w:val="1"/>
      <w:marLeft w:val="0"/>
      <w:marRight w:val="0"/>
      <w:marTop w:val="0"/>
      <w:marBottom w:val="0"/>
      <w:divBdr>
        <w:top w:val="none" w:sz="0" w:space="0" w:color="auto"/>
        <w:left w:val="none" w:sz="0" w:space="0" w:color="auto"/>
        <w:bottom w:val="none" w:sz="0" w:space="0" w:color="auto"/>
        <w:right w:val="none" w:sz="0" w:space="0" w:color="auto"/>
      </w:divBdr>
    </w:div>
    <w:div w:id="331177280">
      <w:bodyDiv w:val="1"/>
      <w:marLeft w:val="0"/>
      <w:marRight w:val="0"/>
      <w:marTop w:val="0"/>
      <w:marBottom w:val="0"/>
      <w:divBdr>
        <w:top w:val="none" w:sz="0" w:space="0" w:color="auto"/>
        <w:left w:val="none" w:sz="0" w:space="0" w:color="auto"/>
        <w:bottom w:val="none" w:sz="0" w:space="0" w:color="auto"/>
        <w:right w:val="none" w:sz="0" w:space="0" w:color="auto"/>
      </w:divBdr>
    </w:div>
    <w:div w:id="336544866">
      <w:bodyDiv w:val="1"/>
      <w:marLeft w:val="0"/>
      <w:marRight w:val="0"/>
      <w:marTop w:val="0"/>
      <w:marBottom w:val="0"/>
      <w:divBdr>
        <w:top w:val="none" w:sz="0" w:space="0" w:color="auto"/>
        <w:left w:val="none" w:sz="0" w:space="0" w:color="auto"/>
        <w:bottom w:val="none" w:sz="0" w:space="0" w:color="auto"/>
        <w:right w:val="none" w:sz="0" w:space="0" w:color="auto"/>
      </w:divBdr>
      <w:divsChild>
        <w:div w:id="545217826">
          <w:marLeft w:val="547"/>
          <w:marRight w:val="0"/>
          <w:marTop w:val="0"/>
          <w:marBottom w:val="0"/>
          <w:divBdr>
            <w:top w:val="none" w:sz="0" w:space="0" w:color="auto"/>
            <w:left w:val="none" w:sz="0" w:space="0" w:color="auto"/>
            <w:bottom w:val="none" w:sz="0" w:space="0" w:color="auto"/>
            <w:right w:val="none" w:sz="0" w:space="0" w:color="auto"/>
          </w:divBdr>
        </w:div>
      </w:divsChild>
    </w:div>
    <w:div w:id="358312113">
      <w:bodyDiv w:val="1"/>
      <w:marLeft w:val="0"/>
      <w:marRight w:val="0"/>
      <w:marTop w:val="0"/>
      <w:marBottom w:val="0"/>
      <w:divBdr>
        <w:top w:val="none" w:sz="0" w:space="0" w:color="auto"/>
        <w:left w:val="none" w:sz="0" w:space="0" w:color="auto"/>
        <w:bottom w:val="none" w:sz="0" w:space="0" w:color="auto"/>
        <w:right w:val="none" w:sz="0" w:space="0" w:color="auto"/>
      </w:divBdr>
      <w:divsChild>
        <w:div w:id="254754911">
          <w:marLeft w:val="1166"/>
          <w:marRight w:val="0"/>
          <w:marTop w:val="77"/>
          <w:marBottom w:val="0"/>
          <w:divBdr>
            <w:top w:val="none" w:sz="0" w:space="0" w:color="auto"/>
            <w:left w:val="none" w:sz="0" w:space="0" w:color="auto"/>
            <w:bottom w:val="none" w:sz="0" w:space="0" w:color="auto"/>
            <w:right w:val="none" w:sz="0" w:space="0" w:color="auto"/>
          </w:divBdr>
        </w:div>
        <w:div w:id="153382363">
          <w:marLeft w:val="1800"/>
          <w:marRight w:val="0"/>
          <w:marTop w:val="77"/>
          <w:marBottom w:val="0"/>
          <w:divBdr>
            <w:top w:val="none" w:sz="0" w:space="0" w:color="auto"/>
            <w:left w:val="none" w:sz="0" w:space="0" w:color="auto"/>
            <w:bottom w:val="none" w:sz="0" w:space="0" w:color="auto"/>
            <w:right w:val="none" w:sz="0" w:space="0" w:color="auto"/>
          </w:divBdr>
        </w:div>
        <w:div w:id="194005724">
          <w:marLeft w:val="1800"/>
          <w:marRight w:val="0"/>
          <w:marTop w:val="77"/>
          <w:marBottom w:val="0"/>
          <w:divBdr>
            <w:top w:val="none" w:sz="0" w:space="0" w:color="auto"/>
            <w:left w:val="none" w:sz="0" w:space="0" w:color="auto"/>
            <w:bottom w:val="none" w:sz="0" w:space="0" w:color="auto"/>
            <w:right w:val="none" w:sz="0" w:space="0" w:color="auto"/>
          </w:divBdr>
        </w:div>
        <w:div w:id="1746339719">
          <w:marLeft w:val="1800"/>
          <w:marRight w:val="0"/>
          <w:marTop w:val="77"/>
          <w:marBottom w:val="0"/>
          <w:divBdr>
            <w:top w:val="none" w:sz="0" w:space="0" w:color="auto"/>
            <w:left w:val="none" w:sz="0" w:space="0" w:color="auto"/>
            <w:bottom w:val="none" w:sz="0" w:space="0" w:color="auto"/>
            <w:right w:val="none" w:sz="0" w:space="0" w:color="auto"/>
          </w:divBdr>
        </w:div>
        <w:div w:id="1349256482">
          <w:marLeft w:val="1800"/>
          <w:marRight w:val="0"/>
          <w:marTop w:val="77"/>
          <w:marBottom w:val="0"/>
          <w:divBdr>
            <w:top w:val="none" w:sz="0" w:space="0" w:color="auto"/>
            <w:left w:val="none" w:sz="0" w:space="0" w:color="auto"/>
            <w:bottom w:val="none" w:sz="0" w:space="0" w:color="auto"/>
            <w:right w:val="none" w:sz="0" w:space="0" w:color="auto"/>
          </w:divBdr>
        </w:div>
        <w:div w:id="2130003136">
          <w:marLeft w:val="1800"/>
          <w:marRight w:val="0"/>
          <w:marTop w:val="77"/>
          <w:marBottom w:val="0"/>
          <w:divBdr>
            <w:top w:val="none" w:sz="0" w:space="0" w:color="auto"/>
            <w:left w:val="none" w:sz="0" w:space="0" w:color="auto"/>
            <w:bottom w:val="none" w:sz="0" w:space="0" w:color="auto"/>
            <w:right w:val="none" w:sz="0" w:space="0" w:color="auto"/>
          </w:divBdr>
        </w:div>
      </w:divsChild>
    </w:div>
    <w:div w:id="369305142">
      <w:bodyDiv w:val="1"/>
      <w:marLeft w:val="0"/>
      <w:marRight w:val="0"/>
      <w:marTop w:val="0"/>
      <w:marBottom w:val="0"/>
      <w:divBdr>
        <w:top w:val="none" w:sz="0" w:space="0" w:color="auto"/>
        <w:left w:val="none" w:sz="0" w:space="0" w:color="auto"/>
        <w:bottom w:val="none" w:sz="0" w:space="0" w:color="auto"/>
        <w:right w:val="none" w:sz="0" w:space="0" w:color="auto"/>
      </w:divBdr>
      <w:divsChild>
        <w:div w:id="45036937">
          <w:marLeft w:val="1166"/>
          <w:marRight w:val="0"/>
          <w:marTop w:val="77"/>
          <w:marBottom w:val="0"/>
          <w:divBdr>
            <w:top w:val="none" w:sz="0" w:space="0" w:color="auto"/>
            <w:left w:val="none" w:sz="0" w:space="0" w:color="auto"/>
            <w:bottom w:val="none" w:sz="0" w:space="0" w:color="auto"/>
            <w:right w:val="none" w:sz="0" w:space="0" w:color="auto"/>
          </w:divBdr>
        </w:div>
        <w:div w:id="1030648338">
          <w:marLeft w:val="1800"/>
          <w:marRight w:val="0"/>
          <w:marTop w:val="77"/>
          <w:marBottom w:val="0"/>
          <w:divBdr>
            <w:top w:val="none" w:sz="0" w:space="0" w:color="auto"/>
            <w:left w:val="none" w:sz="0" w:space="0" w:color="auto"/>
            <w:bottom w:val="none" w:sz="0" w:space="0" w:color="auto"/>
            <w:right w:val="none" w:sz="0" w:space="0" w:color="auto"/>
          </w:divBdr>
        </w:div>
        <w:div w:id="971667752">
          <w:marLeft w:val="1800"/>
          <w:marRight w:val="0"/>
          <w:marTop w:val="77"/>
          <w:marBottom w:val="0"/>
          <w:divBdr>
            <w:top w:val="none" w:sz="0" w:space="0" w:color="auto"/>
            <w:left w:val="none" w:sz="0" w:space="0" w:color="auto"/>
            <w:bottom w:val="none" w:sz="0" w:space="0" w:color="auto"/>
            <w:right w:val="none" w:sz="0" w:space="0" w:color="auto"/>
          </w:divBdr>
        </w:div>
        <w:div w:id="847254389">
          <w:marLeft w:val="1800"/>
          <w:marRight w:val="0"/>
          <w:marTop w:val="77"/>
          <w:marBottom w:val="0"/>
          <w:divBdr>
            <w:top w:val="none" w:sz="0" w:space="0" w:color="auto"/>
            <w:left w:val="none" w:sz="0" w:space="0" w:color="auto"/>
            <w:bottom w:val="none" w:sz="0" w:space="0" w:color="auto"/>
            <w:right w:val="none" w:sz="0" w:space="0" w:color="auto"/>
          </w:divBdr>
        </w:div>
        <w:div w:id="32996979">
          <w:marLeft w:val="1800"/>
          <w:marRight w:val="0"/>
          <w:marTop w:val="77"/>
          <w:marBottom w:val="0"/>
          <w:divBdr>
            <w:top w:val="none" w:sz="0" w:space="0" w:color="auto"/>
            <w:left w:val="none" w:sz="0" w:space="0" w:color="auto"/>
            <w:bottom w:val="none" w:sz="0" w:space="0" w:color="auto"/>
            <w:right w:val="none" w:sz="0" w:space="0" w:color="auto"/>
          </w:divBdr>
        </w:div>
        <w:div w:id="857886146">
          <w:marLeft w:val="1800"/>
          <w:marRight w:val="0"/>
          <w:marTop w:val="77"/>
          <w:marBottom w:val="0"/>
          <w:divBdr>
            <w:top w:val="none" w:sz="0" w:space="0" w:color="auto"/>
            <w:left w:val="none" w:sz="0" w:space="0" w:color="auto"/>
            <w:bottom w:val="none" w:sz="0" w:space="0" w:color="auto"/>
            <w:right w:val="none" w:sz="0" w:space="0" w:color="auto"/>
          </w:divBdr>
        </w:div>
        <w:div w:id="500895825">
          <w:marLeft w:val="1800"/>
          <w:marRight w:val="0"/>
          <w:marTop w:val="77"/>
          <w:marBottom w:val="0"/>
          <w:divBdr>
            <w:top w:val="none" w:sz="0" w:space="0" w:color="auto"/>
            <w:left w:val="none" w:sz="0" w:space="0" w:color="auto"/>
            <w:bottom w:val="none" w:sz="0" w:space="0" w:color="auto"/>
            <w:right w:val="none" w:sz="0" w:space="0" w:color="auto"/>
          </w:divBdr>
        </w:div>
        <w:div w:id="79371151">
          <w:marLeft w:val="2808"/>
          <w:marRight w:val="0"/>
          <w:marTop w:val="0"/>
          <w:marBottom w:val="0"/>
          <w:divBdr>
            <w:top w:val="none" w:sz="0" w:space="0" w:color="auto"/>
            <w:left w:val="none" w:sz="0" w:space="0" w:color="auto"/>
            <w:bottom w:val="none" w:sz="0" w:space="0" w:color="auto"/>
            <w:right w:val="none" w:sz="0" w:space="0" w:color="auto"/>
          </w:divBdr>
        </w:div>
        <w:div w:id="1508788126">
          <w:marLeft w:val="2808"/>
          <w:marRight w:val="0"/>
          <w:marTop w:val="0"/>
          <w:marBottom w:val="0"/>
          <w:divBdr>
            <w:top w:val="none" w:sz="0" w:space="0" w:color="auto"/>
            <w:left w:val="none" w:sz="0" w:space="0" w:color="auto"/>
            <w:bottom w:val="none" w:sz="0" w:space="0" w:color="auto"/>
            <w:right w:val="none" w:sz="0" w:space="0" w:color="auto"/>
          </w:divBdr>
        </w:div>
      </w:divsChild>
    </w:div>
    <w:div w:id="486097574">
      <w:bodyDiv w:val="1"/>
      <w:marLeft w:val="0"/>
      <w:marRight w:val="0"/>
      <w:marTop w:val="0"/>
      <w:marBottom w:val="0"/>
      <w:divBdr>
        <w:top w:val="none" w:sz="0" w:space="0" w:color="auto"/>
        <w:left w:val="none" w:sz="0" w:space="0" w:color="auto"/>
        <w:bottom w:val="none" w:sz="0" w:space="0" w:color="auto"/>
        <w:right w:val="none" w:sz="0" w:space="0" w:color="auto"/>
      </w:divBdr>
    </w:div>
    <w:div w:id="606736729">
      <w:bodyDiv w:val="1"/>
      <w:marLeft w:val="0"/>
      <w:marRight w:val="0"/>
      <w:marTop w:val="0"/>
      <w:marBottom w:val="0"/>
      <w:divBdr>
        <w:top w:val="none" w:sz="0" w:space="0" w:color="auto"/>
        <w:left w:val="none" w:sz="0" w:space="0" w:color="auto"/>
        <w:bottom w:val="none" w:sz="0" w:space="0" w:color="auto"/>
        <w:right w:val="none" w:sz="0" w:space="0" w:color="auto"/>
      </w:divBdr>
    </w:div>
    <w:div w:id="684289241">
      <w:bodyDiv w:val="1"/>
      <w:marLeft w:val="0"/>
      <w:marRight w:val="0"/>
      <w:marTop w:val="0"/>
      <w:marBottom w:val="0"/>
      <w:divBdr>
        <w:top w:val="none" w:sz="0" w:space="0" w:color="auto"/>
        <w:left w:val="none" w:sz="0" w:space="0" w:color="auto"/>
        <w:bottom w:val="none" w:sz="0" w:space="0" w:color="auto"/>
        <w:right w:val="none" w:sz="0" w:space="0" w:color="auto"/>
      </w:divBdr>
      <w:divsChild>
        <w:div w:id="1524443243">
          <w:marLeft w:val="2693"/>
          <w:marRight w:val="0"/>
          <w:marTop w:val="0"/>
          <w:marBottom w:val="0"/>
          <w:divBdr>
            <w:top w:val="none" w:sz="0" w:space="0" w:color="auto"/>
            <w:left w:val="none" w:sz="0" w:space="0" w:color="auto"/>
            <w:bottom w:val="none" w:sz="0" w:space="0" w:color="auto"/>
            <w:right w:val="none" w:sz="0" w:space="0" w:color="auto"/>
          </w:divBdr>
        </w:div>
      </w:divsChild>
    </w:div>
    <w:div w:id="827477861">
      <w:bodyDiv w:val="1"/>
      <w:marLeft w:val="0"/>
      <w:marRight w:val="0"/>
      <w:marTop w:val="0"/>
      <w:marBottom w:val="0"/>
      <w:divBdr>
        <w:top w:val="none" w:sz="0" w:space="0" w:color="auto"/>
        <w:left w:val="none" w:sz="0" w:space="0" w:color="auto"/>
        <w:bottom w:val="none" w:sz="0" w:space="0" w:color="auto"/>
        <w:right w:val="none" w:sz="0" w:space="0" w:color="auto"/>
      </w:divBdr>
      <w:divsChild>
        <w:div w:id="560215145">
          <w:marLeft w:val="547"/>
          <w:marRight w:val="0"/>
          <w:marTop w:val="0"/>
          <w:marBottom w:val="0"/>
          <w:divBdr>
            <w:top w:val="none" w:sz="0" w:space="0" w:color="auto"/>
            <w:left w:val="none" w:sz="0" w:space="0" w:color="auto"/>
            <w:bottom w:val="none" w:sz="0" w:space="0" w:color="auto"/>
            <w:right w:val="none" w:sz="0" w:space="0" w:color="auto"/>
          </w:divBdr>
        </w:div>
      </w:divsChild>
    </w:div>
    <w:div w:id="1007097326">
      <w:bodyDiv w:val="1"/>
      <w:marLeft w:val="0"/>
      <w:marRight w:val="0"/>
      <w:marTop w:val="0"/>
      <w:marBottom w:val="0"/>
      <w:divBdr>
        <w:top w:val="none" w:sz="0" w:space="0" w:color="auto"/>
        <w:left w:val="none" w:sz="0" w:space="0" w:color="auto"/>
        <w:bottom w:val="none" w:sz="0" w:space="0" w:color="auto"/>
        <w:right w:val="none" w:sz="0" w:space="0" w:color="auto"/>
      </w:divBdr>
      <w:divsChild>
        <w:div w:id="275448227">
          <w:marLeft w:val="979"/>
          <w:marRight w:val="0"/>
          <w:marTop w:val="0"/>
          <w:marBottom w:val="0"/>
          <w:divBdr>
            <w:top w:val="none" w:sz="0" w:space="0" w:color="auto"/>
            <w:left w:val="none" w:sz="0" w:space="0" w:color="auto"/>
            <w:bottom w:val="none" w:sz="0" w:space="0" w:color="auto"/>
            <w:right w:val="none" w:sz="0" w:space="0" w:color="auto"/>
          </w:divBdr>
        </w:div>
        <w:div w:id="1311716108">
          <w:marLeft w:val="979"/>
          <w:marRight w:val="0"/>
          <w:marTop w:val="0"/>
          <w:marBottom w:val="0"/>
          <w:divBdr>
            <w:top w:val="none" w:sz="0" w:space="0" w:color="auto"/>
            <w:left w:val="none" w:sz="0" w:space="0" w:color="auto"/>
            <w:bottom w:val="none" w:sz="0" w:space="0" w:color="auto"/>
            <w:right w:val="none" w:sz="0" w:space="0" w:color="auto"/>
          </w:divBdr>
        </w:div>
        <w:div w:id="1481120985">
          <w:marLeft w:val="979"/>
          <w:marRight w:val="0"/>
          <w:marTop w:val="0"/>
          <w:marBottom w:val="0"/>
          <w:divBdr>
            <w:top w:val="none" w:sz="0" w:space="0" w:color="auto"/>
            <w:left w:val="none" w:sz="0" w:space="0" w:color="auto"/>
            <w:bottom w:val="none" w:sz="0" w:space="0" w:color="auto"/>
            <w:right w:val="none" w:sz="0" w:space="0" w:color="auto"/>
          </w:divBdr>
        </w:div>
        <w:div w:id="959727497">
          <w:marLeft w:val="979"/>
          <w:marRight w:val="0"/>
          <w:marTop w:val="0"/>
          <w:marBottom w:val="0"/>
          <w:divBdr>
            <w:top w:val="none" w:sz="0" w:space="0" w:color="auto"/>
            <w:left w:val="none" w:sz="0" w:space="0" w:color="auto"/>
            <w:bottom w:val="none" w:sz="0" w:space="0" w:color="auto"/>
            <w:right w:val="none" w:sz="0" w:space="0" w:color="auto"/>
          </w:divBdr>
        </w:div>
        <w:div w:id="1885016337">
          <w:marLeft w:val="979"/>
          <w:marRight w:val="0"/>
          <w:marTop w:val="0"/>
          <w:marBottom w:val="0"/>
          <w:divBdr>
            <w:top w:val="none" w:sz="0" w:space="0" w:color="auto"/>
            <w:left w:val="none" w:sz="0" w:space="0" w:color="auto"/>
            <w:bottom w:val="none" w:sz="0" w:space="0" w:color="auto"/>
            <w:right w:val="none" w:sz="0" w:space="0" w:color="auto"/>
          </w:divBdr>
        </w:div>
      </w:divsChild>
    </w:div>
    <w:div w:id="1743091916">
      <w:bodyDiv w:val="1"/>
      <w:marLeft w:val="0"/>
      <w:marRight w:val="0"/>
      <w:marTop w:val="0"/>
      <w:marBottom w:val="0"/>
      <w:divBdr>
        <w:top w:val="none" w:sz="0" w:space="0" w:color="auto"/>
        <w:left w:val="none" w:sz="0" w:space="0" w:color="auto"/>
        <w:bottom w:val="none" w:sz="0" w:space="0" w:color="auto"/>
        <w:right w:val="none" w:sz="0" w:space="0" w:color="auto"/>
      </w:divBdr>
    </w:div>
    <w:div w:id="1855222725">
      <w:bodyDiv w:val="1"/>
      <w:marLeft w:val="0"/>
      <w:marRight w:val="0"/>
      <w:marTop w:val="0"/>
      <w:marBottom w:val="0"/>
      <w:divBdr>
        <w:top w:val="none" w:sz="0" w:space="0" w:color="auto"/>
        <w:left w:val="none" w:sz="0" w:space="0" w:color="auto"/>
        <w:bottom w:val="none" w:sz="0" w:space="0" w:color="auto"/>
        <w:right w:val="none" w:sz="0" w:space="0" w:color="auto"/>
      </w:divBdr>
      <w:divsChild>
        <w:div w:id="800266125">
          <w:marLeft w:val="187"/>
          <w:marRight w:val="0"/>
          <w:marTop w:val="0"/>
          <w:marBottom w:val="58"/>
          <w:divBdr>
            <w:top w:val="none" w:sz="0" w:space="0" w:color="auto"/>
            <w:left w:val="none" w:sz="0" w:space="0" w:color="auto"/>
            <w:bottom w:val="none" w:sz="0" w:space="0" w:color="auto"/>
            <w:right w:val="none" w:sz="0" w:space="0" w:color="auto"/>
          </w:divBdr>
        </w:div>
        <w:div w:id="2104758601">
          <w:marLeft w:val="187"/>
          <w:marRight w:val="0"/>
          <w:marTop w:val="0"/>
          <w:marBottom w:val="58"/>
          <w:divBdr>
            <w:top w:val="none" w:sz="0" w:space="0" w:color="auto"/>
            <w:left w:val="none" w:sz="0" w:space="0" w:color="auto"/>
            <w:bottom w:val="none" w:sz="0" w:space="0" w:color="auto"/>
            <w:right w:val="none" w:sz="0" w:space="0" w:color="auto"/>
          </w:divBdr>
        </w:div>
        <w:div w:id="1031493537">
          <w:marLeft w:val="187"/>
          <w:marRight w:val="0"/>
          <w:marTop w:val="0"/>
          <w:marBottom w:val="58"/>
          <w:divBdr>
            <w:top w:val="none" w:sz="0" w:space="0" w:color="auto"/>
            <w:left w:val="none" w:sz="0" w:space="0" w:color="auto"/>
            <w:bottom w:val="none" w:sz="0" w:space="0" w:color="auto"/>
            <w:right w:val="none" w:sz="0" w:space="0" w:color="auto"/>
          </w:divBdr>
        </w:div>
      </w:divsChild>
    </w:div>
    <w:div w:id="1920677458">
      <w:bodyDiv w:val="1"/>
      <w:marLeft w:val="0"/>
      <w:marRight w:val="0"/>
      <w:marTop w:val="0"/>
      <w:marBottom w:val="0"/>
      <w:divBdr>
        <w:top w:val="none" w:sz="0" w:space="0" w:color="auto"/>
        <w:left w:val="none" w:sz="0" w:space="0" w:color="auto"/>
        <w:bottom w:val="none" w:sz="0" w:space="0" w:color="auto"/>
        <w:right w:val="none" w:sz="0" w:space="0" w:color="auto"/>
      </w:divBdr>
      <w:divsChild>
        <w:div w:id="1586915241">
          <w:marLeft w:val="547"/>
          <w:marRight w:val="0"/>
          <w:marTop w:val="0"/>
          <w:marBottom w:val="0"/>
          <w:divBdr>
            <w:top w:val="none" w:sz="0" w:space="0" w:color="auto"/>
            <w:left w:val="none" w:sz="0" w:space="0" w:color="auto"/>
            <w:bottom w:val="none" w:sz="0" w:space="0" w:color="auto"/>
            <w:right w:val="none" w:sz="0" w:space="0" w:color="auto"/>
          </w:divBdr>
        </w:div>
      </w:divsChild>
    </w:div>
    <w:div w:id="2028214261">
      <w:bodyDiv w:val="1"/>
      <w:marLeft w:val="0"/>
      <w:marRight w:val="0"/>
      <w:marTop w:val="0"/>
      <w:marBottom w:val="0"/>
      <w:divBdr>
        <w:top w:val="none" w:sz="0" w:space="0" w:color="auto"/>
        <w:left w:val="none" w:sz="0" w:space="0" w:color="auto"/>
        <w:bottom w:val="none" w:sz="0" w:space="0" w:color="auto"/>
        <w:right w:val="none" w:sz="0" w:space="0" w:color="auto"/>
      </w:divBdr>
      <w:divsChild>
        <w:div w:id="1809787421">
          <w:marLeft w:val="1267"/>
          <w:marRight w:val="0"/>
          <w:marTop w:val="0"/>
          <w:marBottom w:val="0"/>
          <w:divBdr>
            <w:top w:val="none" w:sz="0" w:space="0" w:color="auto"/>
            <w:left w:val="none" w:sz="0" w:space="0" w:color="auto"/>
            <w:bottom w:val="none" w:sz="0" w:space="0" w:color="auto"/>
            <w:right w:val="none" w:sz="0" w:space="0" w:color="auto"/>
          </w:divBdr>
        </w:div>
        <w:div w:id="911309476">
          <w:marLeft w:val="1267"/>
          <w:marRight w:val="0"/>
          <w:marTop w:val="0"/>
          <w:marBottom w:val="0"/>
          <w:divBdr>
            <w:top w:val="none" w:sz="0" w:space="0" w:color="auto"/>
            <w:left w:val="none" w:sz="0" w:space="0" w:color="auto"/>
            <w:bottom w:val="none" w:sz="0" w:space="0" w:color="auto"/>
            <w:right w:val="none" w:sz="0" w:space="0" w:color="auto"/>
          </w:divBdr>
        </w:div>
        <w:div w:id="7102908">
          <w:marLeft w:val="1267"/>
          <w:marRight w:val="0"/>
          <w:marTop w:val="0"/>
          <w:marBottom w:val="0"/>
          <w:divBdr>
            <w:top w:val="none" w:sz="0" w:space="0" w:color="auto"/>
            <w:left w:val="none" w:sz="0" w:space="0" w:color="auto"/>
            <w:bottom w:val="none" w:sz="0" w:space="0" w:color="auto"/>
            <w:right w:val="none" w:sz="0" w:space="0" w:color="auto"/>
          </w:divBdr>
        </w:div>
        <w:div w:id="256911032">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6489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Santiago</cp:lastModifiedBy>
  <cp:revision>2</cp:revision>
  <dcterms:created xsi:type="dcterms:W3CDTF">2021-08-19T22:51:00Z</dcterms:created>
  <dcterms:modified xsi:type="dcterms:W3CDTF">2021-08-19T22:51:00Z</dcterms:modified>
</cp:coreProperties>
</file>